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785079"/>
                <wp:effectExtent l="0" t="0" r="0" b="0"/>
                <wp:wrapNone/>
                <wp:docPr id="1" name="_x0000_s2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864" cy="1785078"/>
                          <a:chOff x="0" y="0"/>
                          <a:chExt cx="6285864" cy="178507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785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1470753"/>
                            <a:ext cx="1536064" cy="300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1441497"/>
                            <a:ext cx="1085850" cy="285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259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0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40.56pt;mso-wrap-distance-left:9.00pt;mso-wrap-distance-top:0.00pt;mso-wrap-distance-right:9.00pt;mso-wrap-distance-bottom:0.00pt;" coordorigin="0,0" coordsize="62858,17850">
                <v:shape id="shape 1" o:spid="_x0000_s1" o:spt="202" type="#_x0000_t202" style="position:absolute;left:0;top:0;width:62858;height:17850;visibility:visible;" fillcolor="#FFFFFF" stroked="f">
                  <v:textbox inset="0,0,0,0">
                    <w:txbxContent>
                      <w:p>
                        <w:pPr>
                          <w:pStyle w:val="73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14707;width:15360;height:3007;visibility:visible;" filled="f" stroked="f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402;top:14414;width:10858;height:2853;visibility:visible;" fillcolor="#FFFFFF" stroked="f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259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0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jc w:val="both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-2066289</wp:posOffset>
                </wp:positionV>
                <wp:extent cx="407035" cy="495300"/>
                <wp:effectExtent l="0" t="0" r="0" b="0"/>
                <wp:wrapNone/>
                <wp:docPr id="2" name="_x0000_s20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162.7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line="240" w:lineRule="exac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  <w:lang w:val="ru-RU"/>
        </w:rPr>
      </w:pPr>
      <w:r>
        <w:rPr>
          <w:b/>
          <w:sz w:val="28"/>
          <w:szCs w:val="28"/>
          <w:lang w:val="ru-RU"/>
        </w:rPr>
        <w:t xml:space="preserve">в перечень видов </w:t>
      </w:r>
      <w:r>
        <w:rPr>
          <w:b/>
          <w:sz w:val="28"/>
          <w:szCs w:val="28"/>
          <w:highlight w:val="none"/>
          <w:lang w:val="ru-RU"/>
        </w:rPr>
        <w:t xml:space="preserve">обязательных </w:t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spacing w:line="240" w:lineRule="exact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highlight w:val="none"/>
          <w:lang w:val="ru-RU"/>
        </w:rPr>
        <w:t xml:space="preserve">работ </w:t>
      </w:r>
      <w:r>
        <w:rPr>
          <w:b/>
          <w:sz w:val="28"/>
          <w:szCs w:val="28"/>
          <w:highlight w:val="none"/>
          <w:lang w:val="ru-RU"/>
        </w:rPr>
        <w:t xml:space="preserve">и объектов </w:t>
      </w:r>
      <w:r>
        <w:rPr>
          <w:b/>
          <w:sz w:val="28"/>
          <w:szCs w:val="28"/>
          <w:highlight w:val="none"/>
          <w:lang w:val="ru-RU"/>
        </w:rPr>
        <w:t xml:space="preserve">для отбывания </w:t>
        <w:br/>
      </w:r>
      <w:r>
        <w:rPr>
          <w:b/>
          <w:sz w:val="28"/>
          <w:szCs w:val="28"/>
          <w:highlight w:val="none"/>
          <w:lang w:val="ru-RU"/>
        </w:rPr>
        <w:t xml:space="preserve">осужденными </w:t>
      </w:r>
      <w:r>
        <w:rPr>
          <w:b/>
          <w:sz w:val="28"/>
          <w:szCs w:val="28"/>
          <w:highlight w:val="none"/>
          <w:lang w:val="ru-RU"/>
        </w:rPr>
        <w:t xml:space="preserve">наказания в виде </w:t>
        <w:br/>
      </w:r>
      <w:r>
        <w:rPr>
          <w:b/>
          <w:sz w:val="28"/>
          <w:szCs w:val="28"/>
          <w:highlight w:val="none"/>
          <w:lang w:val="ru-RU"/>
        </w:rPr>
        <w:t xml:space="preserve">обязательных </w:t>
      </w:r>
      <w:r>
        <w:rPr>
          <w:b/>
          <w:sz w:val="28"/>
          <w:szCs w:val="28"/>
          <w:highlight w:val="none"/>
          <w:lang w:val="ru-RU"/>
        </w:rPr>
        <w:t xml:space="preserve">работ, утвержденный </w:t>
        <w:br/>
      </w:r>
      <w:r>
        <w:rPr>
          <w:b/>
          <w:sz w:val="28"/>
          <w:szCs w:val="28"/>
          <w:lang w:val="ru-RU"/>
        </w:rPr>
        <w:t xml:space="preserve">постановлением </w:t>
      </w:r>
      <w:r>
        <w:rPr>
          <w:b/>
          <w:sz w:val="28"/>
          <w:szCs w:val="28"/>
          <w:lang w:val="ru-RU"/>
        </w:rPr>
        <w:t xml:space="preserve">администрации </w:t>
      </w:r>
      <w:r>
        <w:rPr>
          <w:b/>
          <w:sz w:val="28"/>
          <w:szCs w:val="28"/>
          <w:lang w:val="ru-RU"/>
        </w:rPr>
        <w:t xml:space="preserve">города </w:t>
        <w:br/>
        <w:t xml:space="preserve">Перми от 29.12.2007 № 561 </w:t>
      </w:r>
      <w:r>
        <w:rPr>
          <w:b/>
          <w:sz w:val="28"/>
          <w:szCs w:val="28"/>
          <w:lang w:val="ru-RU"/>
        </w:rPr>
        <w:t xml:space="preserve">«Об определении</w:t>
        <w:br/>
        <w:t xml:space="preserve">мест для отбывания </w:t>
      </w:r>
      <w:r>
        <w:rPr>
          <w:b/>
          <w:sz w:val="28"/>
          <w:szCs w:val="28"/>
          <w:lang w:val="ru-RU"/>
        </w:rPr>
        <w:t xml:space="preserve">наказания лицами,</w:t>
        <w:br/>
        <w:t xml:space="preserve">осужденными </w:t>
      </w:r>
      <w:r>
        <w:rPr>
          <w:b/>
          <w:sz w:val="28"/>
          <w:szCs w:val="28"/>
          <w:lang w:val="ru-RU"/>
        </w:rPr>
        <w:t xml:space="preserve">к обязательным </w:t>
      </w:r>
      <w:r>
        <w:rPr>
          <w:b/>
          <w:sz w:val="28"/>
          <w:szCs w:val="28"/>
          <w:lang w:val="ru-RU"/>
        </w:rPr>
        <w:t xml:space="preserve">работам» 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ind w:firstLine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статьей 25 Уголовно-исполнительного кодекса Российской Федерации, Уставом города Перми, в целях актуализации правовых актов администрации города Перми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val="ru-RU"/>
        </w:rPr>
        <w:t xml:space="preserve">1. Внести в </w:t>
      </w:r>
      <w:r>
        <w:rPr>
          <w:rFonts w:ascii="Times New Roman" w:hAnsi="Times New Roman" w:eastAsia="Times New Roman" w:cs="Times New Roman"/>
          <w:sz w:val="28"/>
          <w:szCs w:val="22"/>
        </w:rPr>
        <w:t xml:space="preserve">перечень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 видов обязательных работ и объектов для отбывания осужденными наказания в виде обязательных работ, утвержденный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sz w:val="28"/>
          <w:szCs w:val="28"/>
          <w:lang w:val="ru-RU"/>
        </w:rPr>
        <w:t xml:space="preserve">постановлением </w:t>
      </w:r>
      <w:r>
        <w:rPr>
          <w:sz w:val="28"/>
          <w:szCs w:val="28"/>
          <w:lang w:val="ru-RU"/>
        </w:rPr>
        <w:t xml:space="preserve">администрации города Перми от 29 декабря 2007 г. № 561 «Об определении мест для отбывания наказания лицами, осужденными к обязательным работам» </w:t>
        <w:br/>
      </w:r>
      <w:r>
        <w:rPr>
          <w:sz w:val="28"/>
          <w:szCs w:val="28"/>
          <w:lang w:val="ru-RU"/>
        </w:rPr>
        <w:t xml:space="preserve">(в ред. от 30.05.2008 № 466, от 09.06.2009 № 315, от 09.04.2010 № 168, </w:t>
      </w:r>
      <w:r>
        <w:rPr>
          <w:sz w:val="28"/>
          <w:szCs w:val="28"/>
          <w:lang w:val="ru-RU"/>
        </w:rPr>
        <w:t xml:space="preserve">от 26.11.2010 № 814, от 24.02.2011 № 62, от 25.03.2011 № 111, от 29.07.2011 </w:t>
      </w:r>
      <w:r>
        <w:rPr>
          <w:sz w:val="28"/>
          <w:szCs w:val="28"/>
          <w:lang w:val="ru-RU"/>
        </w:rPr>
        <w:t xml:space="preserve">№ 384, от 20.09.2011 № 507, от 21.10.2011 № 660, от 19.12.2011 № 22, </w:t>
      </w:r>
      <w:r>
        <w:rPr>
          <w:sz w:val="28"/>
          <w:szCs w:val="28"/>
          <w:lang w:val="ru-RU"/>
        </w:rPr>
        <w:t xml:space="preserve">от 15.02.2012 № 59, от 02.04.2012 № 140, от 23.04.2012 № 186, от 28.05.2012 </w:t>
      </w:r>
      <w:r>
        <w:rPr>
          <w:sz w:val="28"/>
          <w:szCs w:val="28"/>
          <w:lang w:val="ru-RU"/>
        </w:rPr>
        <w:t xml:space="preserve">№ 242, от 22.08.2012 № 475, от 10.04.2013 № 250, от 26.07.2013 № 613, </w:t>
      </w:r>
      <w:r>
        <w:rPr>
          <w:sz w:val="28"/>
          <w:szCs w:val="28"/>
          <w:lang w:val="ru-RU"/>
        </w:rPr>
        <w:t xml:space="preserve">от 31.10.2013 № 935, от 20.12.2013 № 1198, </w:t>
        <w:br/>
        <w:t xml:space="preserve">от 04.03.2014 № 143, от 03.09.2014 </w:t>
      </w:r>
      <w:r>
        <w:rPr>
          <w:sz w:val="28"/>
          <w:szCs w:val="28"/>
          <w:lang w:val="ru-RU"/>
        </w:rPr>
        <w:t xml:space="preserve">№ 584, от 06.11.2014 № 812, от 25.12.2014 </w:t>
        <w:br/>
        <w:t xml:space="preserve">№ 1045, от 25.02.2015 </w:t>
      </w:r>
      <w:r>
        <w:rPr>
          <w:sz w:val="28"/>
          <w:szCs w:val="28"/>
          <w:lang w:val="ru-RU"/>
        </w:rPr>
        <w:t xml:space="preserve">№ 97, от 13.05.2015 № 266, от 04.08.2015 № 528, от 08.10.2015 № 731, </w:t>
      </w:r>
      <w:r>
        <w:rPr>
          <w:sz w:val="28"/>
          <w:szCs w:val="28"/>
          <w:lang w:val="ru-RU"/>
        </w:rPr>
        <w:t xml:space="preserve">от 21.01.2016 № 36, от 24.03.2016 № 197, от 09.06.2016 № 398, от 19.07.2016 </w:t>
      </w:r>
      <w:r>
        <w:rPr>
          <w:sz w:val="28"/>
          <w:szCs w:val="28"/>
          <w:lang w:val="ru-RU"/>
        </w:rPr>
        <w:t xml:space="preserve">№ 513, от 09.11.2016 № 997, от 07.04.2017 № 263, от 10.05.2017 № 343, </w:t>
      </w:r>
      <w:r>
        <w:rPr>
          <w:sz w:val="28"/>
          <w:szCs w:val="28"/>
          <w:lang w:val="ru-RU"/>
        </w:rPr>
        <w:t xml:space="preserve">от 02.08.2017 № 596, от 11.08.2017 № 616, от 01.12.2017 № 1087, от 21.06.2018 </w:t>
      </w:r>
      <w:r>
        <w:rPr>
          <w:sz w:val="28"/>
          <w:szCs w:val="28"/>
          <w:lang w:val="ru-RU"/>
        </w:rPr>
        <w:t xml:space="preserve">№ 411, </w:t>
        <w:br/>
        <w:t xml:space="preserve">от 10.12.2018 № 965, от 15.05.2019 № 177-П, от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16.08.2019 № 483,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от 10.01.2020 </w:t>
        <w:br/>
        <w:t xml:space="preserve">№ 16, </w:t>
      </w:r>
      <w:r>
        <w:rPr>
          <w:sz w:val="28"/>
          <w:szCs w:val="28"/>
          <w:lang w:val="ru-RU"/>
        </w:rPr>
        <w:t xml:space="preserve">от 25.05.2020 № 456, от 07.07.2020 </w:t>
      </w:r>
      <w:hyperlink r:id="rId11" w:tooltip="consultantplus://offline/ref=E7DB298B2906D9C95C692112B01638151ED11806E54C6B01FB1CCA301B69EF5FE04E4717FAF8DC4E6077284177942BD166DB264DD6F5A787124FC480q246F" w:history="1">
        <w:r>
          <w:rPr>
            <w:sz w:val="28"/>
            <w:szCs w:val="28"/>
            <w:lang w:val="ru-RU"/>
          </w:rPr>
          <w:t xml:space="preserve">№ 580</w:t>
        </w:r>
      </w:hyperlink>
      <w:r>
        <w:rPr>
          <w:sz w:val="28"/>
          <w:szCs w:val="28"/>
          <w:lang w:val="ru-RU"/>
        </w:rPr>
        <w:t xml:space="preserve">, от 22.09.2020 </w:t>
      </w:r>
      <w:r>
        <w:rPr>
          <w:sz w:val="28"/>
          <w:szCs w:val="28"/>
          <w:lang w:val="ru-RU"/>
        </w:rPr>
        <w:t xml:space="preserve">№ 867, от 18.12.2020 № 1281, от 28.01.2021 № 25, от 25.03.2021 № 196, </w:t>
      </w:r>
      <w:r>
        <w:rPr>
          <w:sz w:val="28"/>
          <w:szCs w:val="28"/>
          <w:lang w:val="ru-RU"/>
        </w:rPr>
        <w:t xml:space="preserve">от 1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8.06.2021 № 448, </w:t>
        <w:br/>
        <w:t xml:space="preserve">от 30.07.2021 № 568, от 19.11.2021 № 1034, от 28.03.2022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№ 230, от 12.05.2022 </w:t>
        <w:br/>
        <w:t xml:space="preserve">№ 353, от 24.06.2022 № 530, от 13.09.2022 № 789,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от 06.12.2022 № 1244, </w:t>
        <w:br/>
        <w:t xml:space="preserve">от 09.03.2023 № 182, от 21.04.2023 № 329, от 18.05.2023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№ 400, от 09.06.2023 </w:t>
        <w:br/>
        <w:t xml:space="preserve">№ 481, от 03.07.2023 № 566, от 31.08.2023 № 787,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от 13.10.2023 № 1051, </w:t>
        <w:br/>
        <w:t xml:space="preserve">от 16.02.20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24 № 121, от 05.06.2024 № 457, </w:t>
      </w:r>
      <w:bookmarkStart w:id="0" w:name="undefined"/>
      <w:r>
        <w:rPr>
          <w:lang w:val="ru-RU"/>
        </w:rPr>
      </w:r>
      <w:bookmarkEnd w:id="0"/>
      <w:r>
        <w:rPr>
          <w:spacing w:val="2"/>
          <w:sz w:val="28"/>
          <w:szCs w:val="28"/>
          <w:shd w:val="clear" w:color="auto" w:fill="ffffff"/>
          <w:lang w:val="ru-RU"/>
        </w:rPr>
        <w:t xml:space="preserve">от 28.06.2024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№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548, от 17.10.2024 </w:t>
        <w:br/>
        <w:t xml:space="preserve">№ 912</w:t>
      </w:r>
      <w:r>
        <w:rPr>
          <w:color w:val="auto"/>
          <w:spacing w:val="2"/>
          <w:sz w:val="28"/>
          <w:szCs w:val="28"/>
          <w:shd w:val="clear" w:color="auto" w:fill="ffffff"/>
          <w:lang w:val="ru-RU"/>
        </w:rPr>
        <w:t xml:space="preserve">, </w:t>
      </w:r>
      <w:r>
        <w:rPr>
          <w:spacing w:val="2"/>
          <w:sz w:val="28"/>
          <w:szCs w:val="28"/>
          <w:shd w:val="clear" w:color="auto" w:fill="ffffff"/>
          <w:lang w:val="ru-RU"/>
        </w:rPr>
        <w:t xml:space="preserve">от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 23.12.2024 № 1270, от 30.06.2025 № 436, от 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13.11.2025 № 932, </w:t>
        <w:br/>
        <w:t xml:space="preserve">от 27.01.2026 № 26, от 27.02.2026 № 112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)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,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 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с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л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е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д</w:t>
      </w:r>
      <w:r>
        <w:rPr>
          <w:spacing w:val="2"/>
          <w:sz w:val="28"/>
          <w:szCs w:val="28"/>
          <w:highlight w:val="white"/>
          <w:shd w:val="clear" w:color="auto" w:fill="ffffff"/>
          <w:lang w:val="ru-RU"/>
        </w:rPr>
        <w:t xml:space="preserve">ующие изменения: </w:t>
      </w:r>
      <w:r>
        <w:rPr>
          <w:sz w:val="28"/>
          <w:szCs w:val="28"/>
          <w:highlight w:val="none"/>
          <w:lang w:val="ru-RU"/>
        </w:rPr>
      </w:r>
      <w:r/>
    </w:p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pacing w:val="2"/>
          <w:sz w:val="28"/>
          <w:szCs w:val="28"/>
          <w:highlight w:val="none"/>
          <w:shd w:val="clear" w:color="auto" w:fill="ffffff"/>
          <w:lang w:val="ru-RU"/>
        </w:rPr>
        <w:t xml:space="preserve">1.1. </w:t>
      </w:r>
      <w:r>
        <w:rPr>
          <w:sz w:val="28"/>
          <w:szCs w:val="28"/>
          <w:highlight w:val="none"/>
          <w:lang w:val="ru-RU"/>
        </w:rPr>
        <w:t xml:space="preserve">строку 1.15 изложить в следующей редакции: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817"/>
        <w:gridCol w:w="2442"/>
        <w:gridCol w:w="2976"/>
        <w:gridCol w:w="2409"/>
        <w:gridCol w:w="1486"/>
      </w:tblGrid>
      <w:tr>
        <w:tblPrEx/>
        <w:trPr>
          <w:trHeight w:val="890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1.15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442" w:type="dxa"/>
            <w:vMerge w:val="restart"/>
            <w:textDirection w:val="lrTb"/>
            <w:noWrap w:val="false"/>
          </w:tcPr>
          <w:p>
            <w:pPr>
              <w:pStyle w:val="888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ООО «Техноресурс плюс»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pStyle w:val="888"/>
              <w:jc w:val="left"/>
              <w:rPr>
                <w:highlight w:val="none"/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t xml:space="preserve">г. Пермь, </w:t>
            </w:r>
            <w:r>
              <w:rPr>
                <w:highlight w:val="none"/>
                <w:lang w:val="ru-RU"/>
              </w:rPr>
              <w:t xml:space="preserve">ул. Ветлужская, д. 66, к. 2, офис отдельный вход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888"/>
              <w:jc w:val="left"/>
              <w:rPr>
                <w:highlight w:val="none"/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t xml:space="preserve">г. Пермь, </w:t>
              <w:br/>
            </w:r>
            <w:r>
              <w:rPr>
                <w:highlight w:val="none"/>
                <w:lang w:val="ru-RU"/>
              </w:rPr>
              <w:t xml:space="preserve">ул. Ветлужская, д. 66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1486" w:type="dxa"/>
            <w:vMerge w:val="restart"/>
            <w:textDirection w:val="lrTb"/>
            <w:noWrap w:val="false"/>
          </w:tcPr>
          <w:p>
            <w:pPr>
              <w:pStyle w:val="888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5903045964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</w:tr>
    </w:tbl>
    <w:p>
      <w:pPr>
        <w:ind w:firstLine="720"/>
        <w:jc w:val="both"/>
        <w:rPr>
          <w:spacing w:val="2"/>
          <w:sz w:val="28"/>
          <w:szCs w:val="28"/>
          <w:highlight w:val="none"/>
          <w:lang w:val="ru-RU"/>
        </w:rPr>
      </w:pPr>
      <w:r>
        <w:rPr>
          <w:spacing w:val="2"/>
          <w:sz w:val="28"/>
          <w:szCs w:val="28"/>
          <w:highlight w:val="none"/>
          <w:shd w:val="clear" w:color="auto" w:fill="ffffff"/>
          <w:lang w:val="ru-RU"/>
        </w:rPr>
      </w:r>
      <w:r>
        <w:rPr>
          <w:spacing w:val="2"/>
          <w:sz w:val="28"/>
          <w:szCs w:val="28"/>
          <w:highlight w:val="none"/>
          <w:lang w:val="ru-RU"/>
        </w:rPr>
      </w:r>
      <w:r>
        <w:rPr>
          <w:spacing w:val="2"/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1.2. </w:t>
      </w:r>
      <w:r>
        <w:rPr>
          <w:sz w:val="28"/>
          <w:szCs w:val="28"/>
          <w:highlight w:val="none"/>
          <w:lang w:val="ru-RU"/>
        </w:rPr>
        <w:t xml:space="preserve">строку 5.21 изложить в следующей редакции: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817"/>
        <w:gridCol w:w="2442"/>
        <w:gridCol w:w="2976"/>
        <w:gridCol w:w="2409"/>
        <w:gridCol w:w="1486"/>
      </w:tblGrid>
      <w:tr>
        <w:tblPrEx/>
        <w:trPr>
          <w:trHeight w:val="598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5.21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442" w:type="dxa"/>
            <w:vMerge w:val="restart"/>
            <w:textDirection w:val="lrTb"/>
            <w:noWrap w:val="false"/>
          </w:tcPr>
          <w:p>
            <w:pPr>
              <w:pStyle w:val="888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ТСЖ «Паруса над Камой»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pStyle w:val="888"/>
              <w:jc w:val="left"/>
              <w:rPr>
                <w:highlight w:val="none"/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t xml:space="preserve">г. Пермь, </w:t>
            </w:r>
            <w:r>
              <w:rPr>
                <w:highlight w:val="none"/>
                <w:lang w:val="ru-RU"/>
              </w:rPr>
              <w:t xml:space="preserve">ул. Красновишерская, д. 39, кв. 54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888"/>
              <w:jc w:val="left"/>
              <w:rPr>
                <w:highlight w:val="none"/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t xml:space="preserve">г. Пермь, </w:t>
            </w:r>
            <w:r>
              <w:rPr>
                <w:highlight w:val="none"/>
                <w:lang w:val="ru-RU"/>
              </w:rPr>
              <w:t xml:space="preserve">ул. Красновишерская, д. 35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1486" w:type="dxa"/>
            <w:vMerge w:val="restart"/>
            <w:textDirection w:val="lrTb"/>
            <w:noWrap w:val="false"/>
          </w:tcPr>
          <w:p>
            <w:pPr>
              <w:pStyle w:val="888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5906065768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1.3. </w:t>
      </w:r>
      <w:r>
        <w:rPr>
          <w:sz w:val="28"/>
          <w:szCs w:val="28"/>
          <w:highlight w:val="none"/>
          <w:lang w:val="ru-RU"/>
        </w:rPr>
        <w:t xml:space="preserve">строку 6.16 изложить в следующей редакции: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A0" w:firstRow="1" w:lastRow="0" w:firstColumn="1" w:lastColumn="0" w:noHBand="1" w:noVBand="1"/>
      </w:tblPr>
      <w:tblGrid>
        <w:gridCol w:w="817"/>
        <w:gridCol w:w="2442"/>
        <w:gridCol w:w="2976"/>
        <w:gridCol w:w="2409"/>
        <w:gridCol w:w="1486"/>
      </w:tblGrid>
      <w:tr>
        <w:tblPrEx/>
        <w:trPr>
          <w:trHeight w:val="612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6.16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442" w:type="dxa"/>
            <w:vMerge w:val="restart"/>
            <w:textDirection w:val="lrTb"/>
            <w:noWrap w:val="false"/>
          </w:tcPr>
          <w:p>
            <w:pPr>
              <w:pStyle w:val="888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ООО «УК «ЖК»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pStyle w:val="888"/>
              <w:jc w:val="left"/>
              <w:rPr>
                <w:highlight w:val="none"/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t xml:space="preserve">г. Пермь, </w:t>
            </w:r>
            <w:r>
              <w:rPr>
                <w:highlight w:val="none"/>
                <w:lang w:val="ru-RU"/>
              </w:rPr>
              <w:t xml:space="preserve">ул. Карбышева, д. 41, офис 15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888"/>
              <w:jc w:val="left"/>
              <w:rPr>
                <w:highlight w:val="none"/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  <w:t xml:space="preserve">г. Пермь, </w:t>
            </w:r>
            <w:r>
              <w:rPr>
                <w:highlight w:val="none"/>
                <w:lang w:val="ru-RU"/>
              </w:rPr>
              <w:t xml:space="preserve">ул. Кабельщиков, д. 85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  <w:tc>
          <w:tcPr>
            <w:tcW w:w="1486" w:type="dxa"/>
            <w:vMerge w:val="restart"/>
            <w:textDirection w:val="lrTb"/>
            <w:noWrap w:val="false"/>
          </w:tcPr>
          <w:p>
            <w:pPr>
              <w:pStyle w:val="888"/>
              <w:jc w:val="center"/>
              <w:rPr>
                <w:highlight w:val="none"/>
                <w:lang w:val="ru-RU"/>
              </w:rPr>
            </w:pPr>
            <w:r>
              <w:rPr>
                <w:highlight w:val="none"/>
                <w:lang w:val="ru-RU"/>
              </w:rPr>
              <w:t xml:space="preserve">5906115867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   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Управлению по общим вопр</w:t>
      </w:r>
      <w:r>
        <w:rPr>
          <w:sz w:val="28"/>
          <w:szCs w:val="28"/>
          <w:lang w:val="ru-RU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  <w:lang w:val="ru-RU"/>
        </w:rPr>
        <w:t xml:space="preserve">официального опубликования в сетевом издании «Официальный сайт муниципального образования город Пермь </w:t>
      </w:r>
      <w:hyperlink r:id="rId12" w:tooltip="http://www.gorodperm.ru" w:history="1">
        <w:r>
          <w:rPr>
            <w:rStyle w:val="862"/>
            <w:color w:val="000000"/>
            <w:sz w:val="28"/>
            <w:szCs w:val="28"/>
            <w:u w:val="none"/>
            <w:lang w:val="ru-RU"/>
          </w:rPr>
          <w:t xml:space="preserve">www</w:t>
        </w:r>
        <w:r>
          <w:rPr>
            <w:rStyle w:val="862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62"/>
            <w:color w:val="000000"/>
            <w:sz w:val="28"/>
            <w:szCs w:val="28"/>
            <w:u w:val="none"/>
            <w:lang w:val="ru-RU"/>
          </w:rPr>
          <w:t xml:space="preserve">gorodperm</w:t>
        </w:r>
        <w:r>
          <w:rPr>
            <w:rStyle w:val="862"/>
            <w:color w:val="000000"/>
            <w:sz w:val="28"/>
            <w:szCs w:val="28"/>
            <w:u w:val="none"/>
            <w:lang w:val="ru-RU"/>
          </w:rPr>
          <w:t xml:space="preserve">.</w:t>
        </w:r>
        <w:r>
          <w:rPr>
            <w:rStyle w:val="862"/>
            <w:color w:val="000000"/>
            <w:sz w:val="28"/>
            <w:szCs w:val="28"/>
            <w:u w:val="none"/>
            <w:lang w:val="ru-RU"/>
          </w:rPr>
          <w:t xml:space="preserve">ru</w:t>
        </w:r>
        <w:r>
          <w:rPr>
            <w:rStyle w:val="862"/>
            <w:color w:val="000000"/>
            <w:sz w:val="28"/>
            <w:szCs w:val="28"/>
            <w:u w:val="none"/>
            <w:lang w:val="ru-RU"/>
          </w:rPr>
          <w:t xml:space="preserve">»</w:t>
        </w:r>
      </w:hyperlink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 xml:space="preserve">на заместителя главы администрации города Перми Турова А.М.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right="-6"/>
        <w:jc w:val="both"/>
        <w:spacing w:line="240" w:lineRule="exact"/>
        <w:tabs>
          <w:tab w:val="right" w:pos="992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73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08"/>
    <w:link w:val="722"/>
    <w:uiPriority w:val="10"/>
    <w:rPr>
      <w:sz w:val="48"/>
      <w:szCs w:val="48"/>
    </w:rPr>
  </w:style>
  <w:style w:type="character" w:styleId="693">
    <w:name w:val="Subtitle Char"/>
    <w:basedOn w:val="708"/>
    <w:link w:val="724"/>
    <w:uiPriority w:val="11"/>
    <w:rPr>
      <w:sz w:val="24"/>
      <w:szCs w:val="24"/>
    </w:rPr>
  </w:style>
  <w:style w:type="character" w:styleId="694">
    <w:name w:val="Quote Char"/>
    <w:link w:val="726"/>
    <w:uiPriority w:val="29"/>
    <w:rPr>
      <w:i/>
    </w:rPr>
  </w:style>
  <w:style w:type="character" w:styleId="695">
    <w:name w:val="Intense Quote Char"/>
    <w:link w:val="728"/>
    <w:uiPriority w:val="30"/>
    <w:rPr>
      <w:i/>
    </w:rPr>
  </w:style>
  <w:style w:type="character" w:styleId="696">
    <w:name w:val="Footnote Text Char"/>
    <w:link w:val="863"/>
    <w:uiPriority w:val="99"/>
    <w:rPr>
      <w:sz w:val="18"/>
    </w:rPr>
  </w:style>
  <w:style w:type="character" w:styleId="697">
    <w:name w:val="Endnote Text Char"/>
    <w:link w:val="866"/>
    <w:uiPriority w:val="99"/>
    <w:rPr>
      <w:sz w:val="20"/>
    </w:rPr>
  </w:style>
  <w:style w:type="paragraph" w:styleId="698" w:default="1">
    <w:name w:val="Normal"/>
    <w:qFormat/>
    <w:rPr>
      <w:lang w:eastAsia="ru-RU"/>
    </w:rPr>
  </w:style>
  <w:style w:type="paragraph" w:styleId="699">
    <w:name w:val="Heading 1"/>
    <w:basedOn w:val="698"/>
    <w:next w:val="698"/>
    <w:link w:val="711"/>
    <w:qFormat/>
    <w:pPr>
      <w:ind w:right="-1" w:firstLine="709"/>
      <w:jc w:val="both"/>
      <w:keepNext/>
      <w:outlineLvl w:val="0"/>
    </w:pPr>
    <w:rPr>
      <w:sz w:val="24"/>
    </w:rPr>
  </w:style>
  <w:style w:type="paragraph" w:styleId="700">
    <w:name w:val="Heading 2"/>
    <w:basedOn w:val="698"/>
    <w:next w:val="698"/>
    <w:link w:val="712"/>
    <w:qFormat/>
    <w:pPr>
      <w:ind w:right="-1"/>
      <w:jc w:val="both"/>
      <w:keepNext/>
      <w:outlineLvl w:val="1"/>
    </w:pPr>
    <w:rPr>
      <w:sz w:val="2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98"/>
    <w:uiPriority w:val="34"/>
    <w:qFormat/>
    <w:pPr>
      <w:contextualSpacing/>
      <w:ind w:left="720"/>
    </w:pPr>
  </w:style>
  <w:style w:type="paragraph" w:styleId="721">
    <w:name w:val="No Spacing"/>
    <w:uiPriority w:val="1"/>
    <w:qFormat/>
  </w:style>
  <w:style w:type="paragraph" w:styleId="722">
    <w:name w:val="Title"/>
    <w:basedOn w:val="698"/>
    <w:next w:val="698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 w:customStyle="1">
    <w:name w:val="Название Знак"/>
    <w:link w:val="722"/>
    <w:uiPriority w:val="10"/>
    <w:rPr>
      <w:sz w:val="48"/>
      <w:szCs w:val="48"/>
    </w:rPr>
  </w:style>
  <w:style w:type="paragraph" w:styleId="724">
    <w:name w:val="Subtitle"/>
    <w:basedOn w:val="698"/>
    <w:next w:val="698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 w:customStyle="1">
    <w:name w:val="Подзаголовок Знак"/>
    <w:link w:val="724"/>
    <w:uiPriority w:val="11"/>
    <w:rPr>
      <w:sz w:val="24"/>
      <w:szCs w:val="24"/>
    </w:rPr>
  </w:style>
  <w:style w:type="paragraph" w:styleId="726">
    <w:name w:val="Quote"/>
    <w:basedOn w:val="698"/>
    <w:next w:val="698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8"/>
    <w:next w:val="698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98"/>
    <w:link w:val="885"/>
    <w:uiPriority w:val="99"/>
    <w:pPr>
      <w:tabs>
        <w:tab w:val="center" w:pos="4153" w:leader="none"/>
        <w:tab w:val="right" w:pos="8306" w:leader="none"/>
      </w:tabs>
    </w:pPr>
  </w:style>
  <w:style w:type="character" w:styleId="731" w:customStyle="1">
    <w:name w:val="Header Char"/>
    <w:uiPriority w:val="99"/>
  </w:style>
  <w:style w:type="paragraph" w:styleId="732">
    <w:name w:val="Footer"/>
    <w:basedOn w:val="698"/>
    <w:link w:val="886"/>
    <w:pPr>
      <w:tabs>
        <w:tab w:val="center" w:pos="4153" w:leader="none"/>
        <w:tab w:val="right" w:pos="8306" w:leader="none"/>
      </w:tabs>
    </w:pPr>
  </w:style>
  <w:style w:type="character" w:styleId="733" w:customStyle="1">
    <w:name w:val="Footer Char"/>
    <w:uiPriority w:val="99"/>
  </w:style>
  <w:style w:type="paragraph" w:styleId="734">
    <w:name w:val="Caption"/>
    <w:basedOn w:val="698"/>
    <w:next w:val="698"/>
    <w:link w:val="73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35" w:customStyle="1">
    <w:name w:val="Caption Char"/>
    <w:uiPriority w:val="99"/>
  </w:style>
  <w:style w:type="table" w:styleId="73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>
    <w:name w:val="Hyperlink"/>
    <w:rPr>
      <w:color w:val="0563c1"/>
      <w:u w:val="single"/>
    </w:rPr>
  </w:style>
  <w:style w:type="paragraph" w:styleId="863">
    <w:name w:val="footnote text"/>
    <w:basedOn w:val="698"/>
    <w:link w:val="864"/>
    <w:uiPriority w:val="99"/>
    <w:semiHidden/>
    <w:unhideWhenUsed/>
    <w:pPr>
      <w:spacing w:after="40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698"/>
    <w:link w:val="867"/>
    <w:uiPriority w:val="99"/>
    <w:semiHidden/>
    <w:unhideWhenUsed/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698"/>
    <w:next w:val="698"/>
    <w:uiPriority w:val="39"/>
    <w:unhideWhenUsed/>
    <w:pPr>
      <w:spacing w:after="57"/>
    </w:pPr>
  </w:style>
  <w:style w:type="paragraph" w:styleId="870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71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72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73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74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5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6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7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698"/>
    <w:next w:val="698"/>
    <w:uiPriority w:val="99"/>
    <w:unhideWhenUsed/>
  </w:style>
  <w:style w:type="paragraph" w:styleId="880">
    <w:name w:val="Body Text"/>
    <w:basedOn w:val="69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698"/>
    <w:pPr>
      <w:ind w:right="-1"/>
      <w:jc w:val="both"/>
    </w:pPr>
    <w:rPr>
      <w:sz w:val="26"/>
    </w:rPr>
  </w:style>
  <w:style w:type="character" w:styleId="882">
    <w:name w:val="page number"/>
    <w:basedOn w:val="708"/>
  </w:style>
  <w:style w:type="paragraph" w:styleId="883">
    <w:name w:val="Balloon Text"/>
    <w:basedOn w:val="698"/>
    <w:link w:val="884"/>
    <w:rPr>
      <w:rFonts w:ascii="Segoe UI" w:hAnsi="Segoe UI"/>
      <w:sz w:val="18"/>
      <w:szCs w:val="18"/>
      <w:lang w:val="en-US" w:eastAsia="en-US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character" w:styleId="885" w:customStyle="1">
    <w:name w:val="Верхний колонтитул Знак"/>
    <w:link w:val="730"/>
    <w:uiPriority w:val="99"/>
  </w:style>
  <w:style w:type="character" w:styleId="886" w:customStyle="1">
    <w:name w:val="Нижний колонтитул Знак"/>
    <w:link w:val="732"/>
  </w:style>
  <w:style w:type="paragraph" w:styleId="887" w:customStyle="1">
    <w:name w:val="ConsPlusNormal"/>
    <w:pPr>
      <w:widowControl w:val="off"/>
    </w:pPr>
    <w:rPr>
      <w:sz w:val="24"/>
      <w:szCs w:val="24"/>
      <w:lang w:eastAsia="ru-RU"/>
    </w:rPr>
  </w:style>
  <w:style w:type="paragraph" w:styleId="88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E7DB298B2906D9C95C692112B01638151ED11806E54C6B01FB1CCA301B69EF5FE04E4717FAF8DC4E6077284177942BD166DB264DD6F5A787124FC480q246F" TargetMode="External"/><Relationship Id="rId12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shukhardina-ev</cp:lastModifiedBy>
  <cp:revision>46</cp:revision>
  <dcterms:created xsi:type="dcterms:W3CDTF">2024-09-26T06:44:00Z</dcterms:created>
  <dcterms:modified xsi:type="dcterms:W3CDTF">2026-05-05T11:45:23Z</dcterms:modified>
  <cp:version>983040</cp:version>
</cp:coreProperties>
</file>