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63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63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05.05.2026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05.05.2026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9"/>
        <w:spacing w:line="240" w:lineRule="exact"/>
        <w:rPr>
          <w:b/>
          <w:bCs/>
        </w:rPr>
      </w:pPr>
      <w:r>
        <w:rPr>
          <w:b/>
          <w:spacing w:val="-2"/>
        </w:rPr>
        <w:t xml:space="preserve">О </w:t>
      </w:r>
      <w:r>
        <w:rPr>
          <w:b/>
          <w:bCs/>
        </w:rPr>
        <w:t xml:space="preserve">реализации проекта</w:t>
      </w:r>
      <w:r>
        <w:rPr>
          <w:rFonts w:eastAsia="Calibri"/>
          <w:b/>
          <w:bCs/>
          <w:lang w:eastAsia="en-US"/>
        </w:rPr>
        <w:t xml:space="preserve"> </w:t>
      </w:r>
      <w:r>
        <w:rPr>
          <w:b/>
          <w:bCs/>
        </w:rPr>
        <w:t xml:space="preserve">муниципально</w:t>
      </w:r>
      <w:r>
        <w:rPr>
          <w:b/>
          <w:bCs/>
        </w:rPr>
        <w:t xml:space="preserve">-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spacing w:line="240" w:lineRule="exact"/>
        <w:rPr>
          <w:b/>
          <w:bCs/>
        </w:rPr>
      </w:pPr>
      <w:r>
        <w:rPr>
          <w:b/>
          <w:bCs/>
        </w:rPr>
        <w:t xml:space="preserve">частного партнерства «Создание,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spacing w:line="240" w:lineRule="exact"/>
        <w:rPr>
          <w:b/>
          <w:bCs/>
        </w:rPr>
      </w:pPr>
      <w:r>
        <w:rPr>
          <w:b/>
          <w:bCs/>
        </w:rPr>
        <w:t xml:space="preserve">эксплуатация и техническое обслуживание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spacing w:line="240" w:lineRule="exact"/>
        <w:rPr>
          <w:b/>
          <w:bCs/>
        </w:rPr>
      </w:pPr>
      <w:r>
        <w:rPr>
          <w:b/>
          <w:bCs/>
        </w:rPr>
        <w:t xml:space="preserve">многофункционального физкультурно-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spacing w:line="240" w:lineRule="exact"/>
        <w:rPr>
          <w:b/>
          <w:bCs/>
        </w:rPr>
      </w:pPr>
      <w:r>
        <w:rPr>
          <w:b/>
          <w:bCs/>
        </w:rPr>
        <w:t xml:space="preserve">образовательного комплекса по адресу: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spacing w:line="240" w:lineRule="exact"/>
        <w:rPr>
          <w:b/>
          <w:bCs/>
        </w:rPr>
      </w:pPr>
      <w:r>
        <w:rPr>
          <w:b/>
          <w:bCs/>
        </w:rPr>
        <w:t xml:space="preserve">г. Пермь, ул. Сибирская, 44» </w:t>
      </w:r>
      <w:r>
        <w:rPr>
          <w:b/>
          <w:bCs/>
        </w:rPr>
      </w:r>
      <w:r>
        <w:rPr>
          <w:b/>
          <w:bCs/>
        </w:rPr>
      </w:r>
    </w:p>
    <w:p>
      <w:pPr>
        <w:pStyle w:val="919"/>
        <w:ind w:firstLine="720"/>
        <w:jc w:val="both"/>
      </w:pPr>
      <w:r/>
      <w:r/>
    </w:p>
    <w:p>
      <w:pPr>
        <w:pStyle w:val="919"/>
        <w:ind w:firstLine="720"/>
        <w:jc w:val="both"/>
      </w:pPr>
      <w:r/>
      <w:r/>
    </w:p>
    <w:p>
      <w:pPr>
        <w:pStyle w:val="919"/>
        <w:ind w:firstLine="720"/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13 июля 2015 г. № 224-ФЗ </w:t>
      </w:r>
      <w:r>
        <w:rPr>
          <w:sz w:val="28"/>
          <w:szCs w:val="28"/>
        </w:rPr>
        <w:br/>
        <w:t xml:space="preserve">«О государственно-частном партнерстве,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-частном партнерстве </w:t>
      </w:r>
      <w:r>
        <w:rPr>
          <w:sz w:val="28"/>
          <w:szCs w:val="28"/>
        </w:rPr>
        <w:br/>
        <w:t xml:space="preserve">в Российской Федерации и в</w:t>
      </w:r>
      <w:r>
        <w:rPr>
          <w:sz w:val="28"/>
          <w:szCs w:val="28"/>
        </w:rPr>
        <w:t xml:space="preserve">несении изменений в отдельные законодательные акты Российской Федерации», постановлением администрации города Перми от 14 апреля 2017 г. № 290 «Об утверждении Порядка взаимодействия функциональных органов администрации города Перми при реализации проектов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-частного партнерства в городе Перми», на основании предложения общества </w:t>
      </w:r>
      <w:r>
        <w:rPr>
          <w:sz w:val="28"/>
          <w:szCs w:val="28"/>
        </w:rPr>
        <w:br/>
        <w:t xml:space="preserve">с ограниченной ответственностью «</w:t>
      </w:r>
      <w:r>
        <w:rPr>
          <w:sz w:val="28"/>
          <w:szCs w:val="28"/>
        </w:rPr>
        <w:t xml:space="preserve">Синержи</w:t>
      </w:r>
      <w:r>
        <w:rPr>
          <w:sz w:val="28"/>
          <w:szCs w:val="28"/>
        </w:rPr>
        <w:t xml:space="preserve">» о реализации проекта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-частного партнерства от 30 декабря 2025 г.</w:t>
      </w:r>
      <w:r>
        <w:rPr>
          <w:sz w:val="28"/>
          <w:szCs w:val="28"/>
        </w:rPr>
        <w:t xml:space="preserve">, с учетом заключения Министерства экономического развития и инвестиций Пермского края от 07 апреля 2026 г. об эффективности проекта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-частного партнерства по созданию, эксплуатации и техническому обслуживанию многофункционального физкультурно-образовательного комплекса по адресу: г. Пермь, ул. Сибирская, 44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о реализации проекта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-частного партнерства «Создание, эксплуатация и техническое обслуживание многофункционального физкультурно-образовательного комплекса по адресу: г. Пермь, ул. Сибирская, 44» (далее – Проект МЧП, МЧП).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цели</w:t>
      </w:r>
      <w:r>
        <w:rPr>
          <w:sz w:val="28"/>
          <w:szCs w:val="28"/>
        </w:rPr>
        <w:t xml:space="preserve"> и задачу </w:t>
      </w:r>
      <w:r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Проекта МЧП: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</w:t>
      </w:r>
      <w:r>
        <w:rPr>
          <w:sz w:val="28"/>
          <w:szCs w:val="28"/>
        </w:rPr>
        <w:t xml:space="preserve">: повышение уровня доступности для населения спортивных объектов, создание условий дл</w:t>
      </w:r>
      <w:r>
        <w:rPr>
          <w:sz w:val="28"/>
          <w:szCs w:val="28"/>
        </w:rPr>
        <w:t xml:space="preserve">я развития физической культуры </w:t>
      </w:r>
      <w:r>
        <w:rPr>
          <w:sz w:val="28"/>
          <w:szCs w:val="28"/>
        </w:rPr>
        <w:t xml:space="preserve">и массового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</w:t>
      </w:r>
      <w:bookmarkStart w:id="0" w:name="_GoBack"/>
      <w:r/>
      <w:bookmarkEnd w:id="0"/>
      <w:r>
        <w:rPr>
          <w:sz w:val="28"/>
          <w:szCs w:val="28"/>
        </w:rPr>
        <w:t xml:space="preserve">: развитие спортивной инфраструктуры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публичного партнера – муниципальное образование город Пермь, </w:t>
      </w:r>
      <w:r>
        <w:rPr>
          <w:sz w:val="28"/>
          <w:szCs w:val="28"/>
        </w:rPr>
        <w:br/>
        <w:t xml:space="preserve">от имени которого выступает администрация города Перми в лице комитета </w:t>
      </w:r>
      <w:r>
        <w:rPr>
          <w:sz w:val="28"/>
          <w:szCs w:val="28"/>
        </w:rPr>
        <w:br/>
        <w:t xml:space="preserve">по физической культуре и спорту администрации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функциональный орган администрации города Перми, выступающий </w:t>
      </w:r>
      <w:r>
        <w:rPr>
          <w:sz w:val="28"/>
          <w:szCs w:val="28"/>
        </w:rPr>
        <w:br/>
        <w:t xml:space="preserve">на стороне публичного партнера: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земельных отношений администрации города Перми </w:t>
      </w:r>
      <w:r>
        <w:rPr>
          <w:sz w:val="28"/>
          <w:szCs w:val="28"/>
        </w:rPr>
        <w:br/>
        <w:t xml:space="preserve">в части предоставления частному партнеру в аренду земельного участка, указанного в разделе 4 существенных условий соглашения о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-частном партнерстве в отношении создания, эксплуатации и технического обслуживания многофункционального физкультурно-образовательного комплекса по адресу: </w:t>
        <w:br/>
      </w:r>
      <w:r>
        <w:rPr>
          <w:sz w:val="28"/>
          <w:szCs w:val="28"/>
        </w:rPr>
        <w:t xml:space="preserve">г. Пермь, ул. Сибирская, 44</w:t>
      </w:r>
      <w:r>
        <w:rPr>
          <w:sz w:val="28"/>
          <w:szCs w:val="28"/>
        </w:rPr>
        <w:t xml:space="preserve"> (далее – Соглашение)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прилагаемые существенные условия соглашения о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-частном партнерстве в отношении создания, эксплуатации и технического обслуживания многофункционального физкультурно-образовательного комплекса по адресу: г. Пермь, ул. Сибирская, 44;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прилагаемый Порядок заключения соглашения о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-частном партнерстве в отношении создания, эксплуатации и технического обслуживания многофункционального физкультурно-образовательного комплекса по адресу: </w:t>
      </w:r>
      <w:r>
        <w:rPr>
          <w:sz w:val="28"/>
          <w:szCs w:val="28"/>
        </w:rPr>
        <w:br/>
        <w:t xml:space="preserve">г. Пермь, ул. Сибирская, 44.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Комитету по физической культуре и спорту администрации города Перми обеспечить проведение мероприятий, направленных на заключение и реализацию </w:t>
      </w:r>
      <w:r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в соответствии с Федеральным законом от 13 июля </w:t>
      </w:r>
      <w:r>
        <w:rPr>
          <w:sz w:val="28"/>
          <w:szCs w:val="28"/>
        </w:rPr>
        <w:t xml:space="preserve">2015 г. № 224-ФЗ «О государственно-частном партнерстве,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</w:t>
      </w:r>
      <w:r>
        <w:rPr>
          <w:sz w:val="28"/>
          <w:szCs w:val="28"/>
        </w:rPr>
        <w:t xml:space="preserve">ы Российской Федерации», Порядком</w:t>
      </w:r>
      <w:r>
        <w:rPr>
          <w:sz w:val="28"/>
          <w:szCs w:val="28"/>
        </w:rPr>
        <w:t xml:space="preserve"> взаимодействия функциональных органов администрации города Перми при реализации проектов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-частного партнерст</w:t>
      </w:r>
      <w:r>
        <w:rPr>
          <w:sz w:val="28"/>
          <w:szCs w:val="28"/>
        </w:rPr>
        <w:t xml:space="preserve">ва в городе Перми, утвержденным</w:t>
      </w:r>
      <w:r>
        <w:rPr>
          <w:sz w:val="28"/>
          <w:szCs w:val="28"/>
        </w:rPr>
        <w:t xml:space="preserve"> постановлением администрации города Перми от 14 апреля</w:t>
      </w:r>
      <w:r>
        <w:rPr>
          <w:sz w:val="28"/>
          <w:szCs w:val="28"/>
        </w:rPr>
        <w:t xml:space="preserve"> 2017 г. № 290, настоящим постановлением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88" w:lineRule="atLeas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Главы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05.05.2026 № 63</w:t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/>
      <w:bookmarkStart w:id="1" w:name="p36"/>
      <w:r/>
      <w:bookmarkEnd w:id="1"/>
      <w:r>
        <w:rPr>
          <w:b/>
          <w:bCs/>
          <w:sz w:val="28"/>
          <w:szCs w:val="28"/>
        </w:rPr>
        <w:t xml:space="preserve">СУЩЕСТВЕННЫЕ УСЛОВИЯ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соглашения о </w:t>
      </w:r>
      <w:r>
        <w:rPr>
          <w:b/>
          <w:bCs/>
          <w:sz w:val="28"/>
          <w:szCs w:val="28"/>
        </w:rPr>
        <w:t xml:space="preserve">муниципально</w:t>
      </w:r>
      <w:r>
        <w:rPr>
          <w:b/>
          <w:bCs/>
          <w:sz w:val="28"/>
          <w:szCs w:val="28"/>
        </w:rPr>
        <w:t xml:space="preserve">-частном партнерстве в отношении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создания, эксплуатации и технического обслуживания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многофункционального физкультурно-образовательного комплекса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адресу: г. Пермь, ул. Сибирская, 44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(далее – Существенные условия, Соглашение)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Элементы 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Обязательными элементами Соглашения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создание многофункционального физкультурно-образовательного комплекса по адресу: г. Пермь, ул. Сибирская, 44 (далее – Объект Соглашения) частным партнером;</w:t>
      </w:r>
      <w:bookmarkStart w:id="2" w:name="p46"/>
      <w:r/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полное финансирование частным партнером создания, эксплуатации </w:t>
      </w:r>
      <w:r>
        <w:rPr>
          <w:sz w:val="28"/>
          <w:szCs w:val="28"/>
        </w:rPr>
        <w:br/>
        <w:t xml:space="preserve">и технического обслуживания Объекта Соглашения. Ориентировочный объем финансирования создания Объекта Соглашения по Соглашению составляет </w:t>
      </w:r>
      <w:r>
        <w:rPr>
          <w:sz w:val="28"/>
          <w:szCs w:val="28"/>
        </w:rPr>
        <w:br/>
        <w:t xml:space="preserve">50 000 000 (пятьдесят миллионов) руб. 00 коп. в ценах 2026 года с НДС;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осуществление частным партнером эксплуатации и технического обслуживания Объекта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возникновение права собственности частного партнера на Объект Соглашения после его создания и ввода в эксплуатацию, со дня государственной регистрации права собственности при условии обременения Объекта Соглашения </w:t>
      </w:r>
      <w:r>
        <w:rPr>
          <w:sz w:val="28"/>
          <w:szCs w:val="28"/>
        </w:rPr>
        <w:br/>
        <w:t xml:space="preserve">в соответствии с Федеральным законом от 13 июля 2015 г. № 224-ФЗ «О государственно-частном партнерстве,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 (далее – Закон № 224-ФЗ).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3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Значения критериев эффективности 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</w:t>
      </w:r>
      <w:r>
        <w:rPr>
          <w:b/>
          <w:bCs/>
          <w:sz w:val="28"/>
          <w:szCs w:val="28"/>
        </w:rPr>
        <w:t xml:space="preserve">-частного партнерства «Создание, эксплуатация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техническое обслуживание многофункционального физкультурно-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образовательного комплекса по адресу: г. Пермь, ул. Сибирская, 44»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(далее – Проект МЧП, МЧП) и значения показателей его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сравнительного преимущества, на основании которых получено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положительное заключение Министерства экономического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развития и инвестиций Пермского края,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 также обязательства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сторон по реализации Соглашения в соответствии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этими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значениями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/>
      <w:bookmarkStart w:id="3" w:name="p61"/>
      <w:r/>
      <w:bookmarkEnd w:id="3"/>
      <w:r>
        <w:rPr>
          <w:sz w:val="28"/>
          <w:szCs w:val="28"/>
        </w:rPr>
        <w:t xml:space="preserve">2.1. Значение критерия финансовой эффективности Проекта МЧП: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NPV = 5489 тыс. руб., где: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NPV – чистая приведенная стоимость проекта в рублях.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168" w:line="288" w:lineRule="atLeast"/>
        <w:rPr>
          <w:sz w:val="28"/>
          <w:szCs w:val="28"/>
        </w:rPr>
      </w:pPr>
      <w:r/>
      <w:bookmarkStart w:id="4" w:name="p66"/>
      <w:r/>
      <w:bookmarkEnd w:id="4"/>
      <w:r>
        <w:rPr>
          <w:sz w:val="28"/>
          <w:szCs w:val="28"/>
        </w:rPr>
        <w:t xml:space="preserve">2.2. Значение показателя сравнительного преимущества проекта: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Kvfm</w:t>
      </w:r>
      <w:r>
        <w:rPr>
          <w:sz w:val="28"/>
          <w:szCs w:val="28"/>
        </w:rPr>
        <w:t xml:space="preserve"> = 2,699, где: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</w:t>
      </w:r>
      <w:r>
        <w:rPr>
          <w:sz w:val="28"/>
          <w:szCs w:val="28"/>
          <w:vertAlign w:val="subscript"/>
        </w:rPr>
        <w:t xml:space="preserve">vfm</w:t>
      </w:r>
      <w:r>
        <w:rPr>
          <w:sz w:val="28"/>
          <w:szCs w:val="28"/>
        </w:rPr>
        <w:t xml:space="preserve"> – коэффициент сравнения преимущества реализации проекта при заключении Соглашения или государственного контракта.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Публичный и частный партнер (далее – Стороны) обязуются исполнять Соглашение в соответствии со значениями, установленными в пунктах 2.1, 2.2 настоящих Существенных условий.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отношении значений, установленных в пунктах 2.1, 2.2 настоящих Существенны</w:t>
      </w:r>
      <w:r>
        <w:rPr>
          <w:sz w:val="28"/>
          <w:szCs w:val="28"/>
        </w:rPr>
        <w:t xml:space="preserve">х условий, уплата неустоек, убытков, дополнительных расходов не влияет на соблюдение указанных значений и не оценивается в рамках проведения контроля публичным партнером для целей определения соблюдения Сторонами обязанности, предусмотренной в Соглашении.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Исполнением Соглашения не в соответствии со значениями, установл</w:t>
      </w:r>
      <w:r>
        <w:rPr>
          <w:sz w:val="28"/>
          <w:szCs w:val="28"/>
        </w:rPr>
        <w:t xml:space="preserve">енными в пунктах 2.1, 2.2 настоящих Существенных условий, является такое исполнение Соглашения, при котором значения критерия и (или) показателя, предусмотренных соответственно в пунктах 2.1, 2.2 настоящих Существенных условий, становятся меньше 0 (ноля).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значения критериев эффективности проекта или</w:t>
      </w:r>
      <w:r>
        <w:rPr>
          <w:sz w:val="28"/>
          <w:szCs w:val="28"/>
        </w:rPr>
        <w:t xml:space="preserve"> показателей сравнительного преимущества не будут достигнуты к концу срока действия Соглашения по обстоятельствам, не зависящим от Сторон, то Стороны не считаются не исполнившими свои обязательства, а частный партнер самостоятельно несет возможные убытки.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/>
      <w:bookmarkStart w:id="5" w:name="p76"/>
      <w:r/>
      <w:bookmarkEnd w:id="5"/>
      <w:r>
        <w:rPr>
          <w:b/>
          <w:bCs/>
          <w:sz w:val="28"/>
          <w:szCs w:val="28"/>
        </w:rPr>
        <w:t xml:space="preserve">III. Сведения об Объекте Соглашения, в том числе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его технико-экономические показатели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Сведения об Объекте Соглашения, в том числе 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технико-экономические показатели, после создания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968"/>
        <w:gridCol w:w="552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Многофункциональный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физкультурно-образовательный комплекс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2-этажный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площадь здания, включая эксплуатируемую кровлю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ориентировочно 699,8 кв.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Строительный объем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ориентировочно 4 000 кв.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фундамента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определяется проектом по результатам геодезических работ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колонн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железобетонные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перекрытий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железобетонные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внутренних стен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гипсоблок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наружных ограждающих стен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определяется проектом в соответствии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АГО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покрытия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плоская кровля с утеплителем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благоустройства территории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ориентировочно 100 кв.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Функциональные помещения Объекта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этаж: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помещения свободной планировки для обеспечения осуществления деятельности по оказанию услуг населению в сфере физической культуры и спорта, образовательной деятельности ориентировочной площадью </w:t>
            </w:r>
            <w:r>
              <w:rPr>
                <w:sz w:val="28"/>
                <w:szCs w:val="28"/>
              </w:rPr>
              <w:br/>
              <w:t xml:space="preserve">350,56 кв. 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этаж: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зал ориентировочной площадью 178,5 кв. м (17 м длина, 10,5 м ширина).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Тренерская.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Женская и мужская раздевалки, оборудованные индивидуальными шкафами, с душевыми.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Туалеты мужской и женский.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Гардеробная.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Комната для хранения инвентаря.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Эксплуатируемая кровля ориентировочной площадью 110,8 кв. м свободной планировки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Окончательные технико-экономические параметры Объекта Соглашения будут определены по итогам получения положительного заключения экспертизы </w:t>
      </w:r>
      <w:r>
        <w:rPr>
          <w:sz w:val="28"/>
          <w:szCs w:val="28"/>
        </w:rPr>
        <w:br/>
        <w:t xml:space="preserve">в отношении проектной документации.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/>
      <w:bookmarkStart w:id="6" w:name="p169"/>
      <w:r/>
      <w:bookmarkEnd w:id="6"/>
      <w:r>
        <w:rPr>
          <w:b/>
          <w:bCs/>
          <w:sz w:val="28"/>
          <w:szCs w:val="28"/>
        </w:rPr>
        <w:t xml:space="preserve">IV. Обязательство публичного партнера по обеспечению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частному партнеру предназначенного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осуществления деятельности, предусмотренной Соглашением,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Проекта МЧП публичным партнером обеспечивается передача частному партнеру на правах аренды земельного участка площадью </w:t>
      </w:r>
      <w:r>
        <w:rPr>
          <w:sz w:val="28"/>
          <w:szCs w:val="28"/>
        </w:rPr>
        <w:br/>
        <w:t xml:space="preserve">480 кв. м с кадастровым номером 59:01:4410155:14 по адресу: Пермский край, </w:t>
      </w:r>
      <w:r>
        <w:rPr>
          <w:sz w:val="28"/>
          <w:szCs w:val="28"/>
        </w:rPr>
        <w:br/>
        <w:t xml:space="preserve">г. Пермь, район Свердловский, ул. Сибирская, 44 (далее – Земельный участок), необходимого для создания и последующей эксплуатации Объекта Соглашения </w:t>
      </w:r>
      <w:r>
        <w:rPr>
          <w:sz w:val="28"/>
          <w:szCs w:val="28"/>
        </w:rPr>
        <w:br/>
        <w:t xml:space="preserve">на весь срок действия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является собственностью муниципального образования город Пермь (дата и номер государственной регистрации права: 21 марта 2024 г. № 59:01:4410155:14-59/088/2024-4).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 в зоне</w:t>
      </w:r>
      <w:r>
        <w:rPr>
          <w:sz w:val="28"/>
          <w:szCs w:val="28"/>
        </w:rPr>
        <w:t xml:space="preserve">, в границах которой статьей 52.9 Правил землепользования и застройки города Перми, утвержденных решением Пермской городской Думы от 26 июня 2007 г. № 143, установлены требования к архитектурно-градостроительному облику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на момент предоставления его в аренду частному партнеру должен быть свободен от прав третьих лиц и должен находиться в собственности публичного партнера.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аренды Земельного участка должен быть заключен с частным партнером не позднее чем через 30 (тридцать) рабочих дней со дня обращения частного партнера в функциональный орган администрации города Перми, указанный </w:t>
      </w:r>
      <w:r>
        <w:rPr>
          <w:sz w:val="28"/>
          <w:szCs w:val="28"/>
        </w:rPr>
        <w:br/>
        <w:t xml:space="preserve">в пункте 2.3.1 настоящего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арендной платы за Земельный участок устанавливается в соответствии с нормативными правовыми актами Российской Федерации, Пермского края и муниципальными правовыми актами города Перми, в том числе </w:t>
      </w:r>
      <w:hyperlink r:id="rId13" w:tooltip="https://login.consultant.ru/link/?req=doc&amp;base=RLAW368&amp;n=182742&amp;date=17.04.2026" w:history="1">
        <w:r>
          <w:rPr>
            <w:sz w:val="28"/>
            <w:szCs w:val="28"/>
          </w:rPr>
          <w:t xml:space="preserve">решением</w:t>
        </w:r>
      </w:hyperlink>
      <w:r>
        <w:rPr>
          <w:sz w:val="28"/>
          <w:szCs w:val="28"/>
        </w:rPr>
        <w:t xml:space="preserve"> Пермской городской Думы от 24 марта 2015 г. № 68 «О плате за земельные участки, находящиеся в муниципальной собственности».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/>
      <w:bookmarkStart w:id="7" w:name="p191"/>
      <w:r/>
      <w:bookmarkEnd w:id="7"/>
      <w:r>
        <w:rPr>
          <w:b/>
          <w:bCs/>
          <w:sz w:val="28"/>
          <w:szCs w:val="28"/>
        </w:rPr>
        <w:t xml:space="preserve">V. Срок действия 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Срок действия Соглашения – 10 лет со дня его подписания Сторонами.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VI. Условие и порядок возникновения права частной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собственности на Объект 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частного партнера на Объект Соглашения возникает после создания Объекта Соглашения и ввода его в эксплуатацию, с момента государственной регистрации права собственности частного партнера на Объект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государственной регистрацией права собственности частного партнера на Объект Соглашения подлежит в установленном федеральным законом порядке государственной регистрации ограничение права собственности частного партнера в соответствии с </w:t>
      </w:r>
      <w:hyperlink r:id="rId14" w:tooltip="https://login.consultant.ru/link/?req=doc&amp;base=LAW&amp;n=481375&amp;dst=37&amp;field=134&amp;date=17.04.2026" w:history="1">
        <w:r>
          <w:rPr>
            <w:sz w:val="28"/>
            <w:szCs w:val="28"/>
          </w:rPr>
          <w:t xml:space="preserve">ч. 12 ст. 12</w:t>
        </w:r>
      </w:hyperlink>
      <w:r>
        <w:rPr>
          <w:sz w:val="28"/>
          <w:szCs w:val="28"/>
        </w:rPr>
        <w:t xml:space="preserve"> Закона № 224-ФЗ.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Указанное обременение (ограничение) Объекта Соглашения является условием возникновения у частного партнера права собственности на Объект Соглашения.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VII. Обязательства Сторон Соглашения по обеспечению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осуществления мероприятий по исполнению Соглашения, в 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числе исполнению обязательств, вытекающих из элементов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Частный партнер обязуется:</w:t>
      </w:r>
      <w:bookmarkStart w:id="8" w:name="p208"/>
      <w:r/>
      <w:bookmarkEnd w:id="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7.1.1. не позднее 3 рабочих дней со дня подписания Соглашения обратиться в департамент земельных отношений администрации города Перми с заявлением о предоставлении в аренду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7.1.2. осуществить полное финансирование за счет собственных и (или) привлеченных средств обязательств частного партне</w:t>
      </w:r>
      <w:r>
        <w:rPr>
          <w:sz w:val="28"/>
          <w:szCs w:val="28"/>
        </w:rPr>
        <w:t xml:space="preserve">ра по реализации Проекта МЧП, в том числе разработки проектной документации для создания Объекта Соглашения, создания Объекта Соглашения, регистрации права собственности и обеспечить осуществление мероприятий по реализации Проекта МЧП в сроки, указанные в </w:t>
      </w:r>
      <w:r>
        <w:rPr>
          <w:sz w:val="28"/>
          <w:szCs w:val="28"/>
        </w:rPr>
        <w:t xml:space="preserve">разделе 9 настоящих Существенных условий, в соответствии с проектной документацией, согласованной и утвержденной в порядке, установленном действу</w:t>
      </w:r>
      <w:r>
        <w:rPr>
          <w:sz w:val="28"/>
          <w:szCs w:val="28"/>
        </w:rPr>
        <w:t xml:space="preserve">ющим законодательством, в том числе с учетом соблюдения требований, установленных нормативными правовыми актами в части доступности Объекта Соглашения для маломобильных граждан, выполнив все виды работ, указанные в разделе 9 настоящих Существенных условий;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7.1.3. не приступать к созданию Объекта Соглашения до получения решения о согласовании архитектурно-градостроительного облика Объекта Соглашения </w:t>
      </w:r>
      <w:r>
        <w:rPr>
          <w:sz w:val="28"/>
          <w:szCs w:val="28"/>
        </w:rPr>
        <w:br/>
        <w:t xml:space="preserve">в соответствии с </w:t>
      </w:r>
      <w:hyperlink r:id="rId15" w:tooltip="https://login.consultant.ru/link/?req=doc&amp;base=RLAW368&amp;n=195580&amp;date=17.04.2026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03 ноября </w:t>
      </w:r>
      <w:r>
        <w:rPr>
          <w:sz w:val="28"/>
          <w:szCs w:val="28"/>
        </w:rPr>
        <w:br/>
        <w:t xml:space="preserve">2023 г. № 1209 «Об утвержден</w:t>
      </w:r>
      <w:r>
        <w:rPr>
          <w:sz w:val="28"/>
          <w:szCs w:val="28"/>
        </w:rPr>
        <w:t xml:space="preserve">ии Административного регламента предоставления департаментом градостроительства и архитектуры администрации города Перми муниципальной услуги «Предоставление решения о согласовании архитектурно-градостроительного облика объекта капитального строительства».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согласовании архитектурно-градостроительного облика Объекта Соглашения должно быть доведено частным партнером до сведения публичного партнера не позднее 5 рабочих дней со дня его получения;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7.1.4. не позднее 60 кал</w:t>
      </w:r>
      <w:r>
        <w:rPr>
          <w:sz w:val="28"/>
          <w:szCs w:val="28"/>
        </w:rPr>
        <w:t xml:space="preserve">ендарных дней с даты регистрации права собственности на Объект Соглашения обеспечить перерегистрацию юридического лица – частного партнера по месту регистрации Объекта Соглашения, в случае если частный партнер не зарегистрирован на территории города Перми;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7.1.5.</w:t>
      </w:r>
      <w:bookmarkStart w:id="9" w:name="p216"/>
      <w:r/>
      <w:bookmarkEnd w:id="9"/>
      <w:r>
        <w:rPr>
          <w:sz w:val="28"/>
          <w:szCs w:val="28"/>
        </w:rPr>
        <w:t xml:space="preserve"> эксплуатировать Объект Соглашения для осуществления деятельности по оказанию населению услуг в сфере физической культуры и спорта.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будет являться нарушением целевого назначения Объекта Соглашения создание и функционирование в Объекте соглашения вспомогательных сервисов и служб, в том числе:</w:t>
      </w:r>
      <w:r>
        <w:t xml:space="preserve"> </w:t>
      </w:r>
      <w:r>
        <w:rPr>
          <w:sz w:val="28"/>
          <w:szCs w:val="28"/>
        </w:rPr>
        <w:t xml:space="preserve">пунктов продажи спортивного инвентаря, питания, спортивных товаров; кафе и общественного питания; оказание услуг в сфере образования, здоровья, мед</w:t>
      </w:r>
      <w:r>
        <w:rPr>
          <w:sz w:val="28"/>
          <w:szCs w:val="28"/>
        </w:rPr>
        <w:t xml:space="preserve">ицинских услуг, иные сервисы и службы, направленные на удовлетворение вспомогательных потребностей потребителей услуг в сфере физической культуры и спорта, при условии, что создание дополнительных сервисов не будет препятствовать осуществлению деятельности</w:t>
      </w:r>
      <w:r>
        <w:t xml:space="preserve"> </w:t>
      </w:r>
      <w:r>
        <w:rPr>
          <w:sz w:val="28"/>
          <w:szCs w:val="28"/>
        </w:rPr>
        <w:t xml:space="preserve">по оказанию населению услуг в сфере физической культуры и спорта для достижения целей Соглашения;</w:t>
      </w:r>
      <w:bookmarkStart w:id="10" w:name="p217"/>
      <w:r/>
      <w:bookmarkEnd w:id="1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7.1.6. предоставлять уполномоченно</w:t>
      </w:r>
      <w:r>
        <w:rPr>
          <w:sz w:val="28"/>
          <w:szCs w:val="28"/>
        </w:rPr>
        <w:t xml:space="preserve">й Публичным партнером некоммерческой организации, в том числе муниципальному учреждению, на безвозмездной основе в пользование 2-й этаж Объекта Соглашения еженедельно с понедельника по субботу для проведения тренировочного процесса не менее 4 часов в день;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7.1.7. обеспечить соответствие Объекта Соглашения по итогам исполнения обязательств, предусмотренных </w:t>
      </w:r>
      <w:hyperlink w:tooltip="#p215" w:anchor="p215" w:history="1">
        <w:r>
          <w:rPr>
            <w:sz w:val="28"/>
            <w:szCs w:val="28"/>
          </w:rPr>
          <w:t xml:space="preserve">пунктом 7.1.2</w:t>
        </w:r>
      </w:hyperlink>
      <w:r>
        <w:rPr>
          <w:sz w:val="28"/>
          <w:szCs w:val="28"/>
        </w:rPr>
        <w:t xml:space="preserve"> настоящих Существенных условий, требованиям законодательства в области строительства, ГОСТ, СанПиН, иным нормативам, нормам, положениям, инструкциям, правилам, указаниям (в том числе носящим рекомендательный характер), действующим на т</w:t>
      </w:r>
      <w:r>
        <w:rPr>
          <w:sz w:val="28"/>
          <w:szCs w:val="28"/>
        </w:rPr>
        <w:t xml:space="preserve">ерритории Российской Федерации, а также требованиям органов государственной власти и управления, уполномоченных контролировать, согласовывать, выдавать разрешения, наделенных другими властными и иными полномочиями в отношении создаваемого результата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7.1.8. в случае случайной гибели и (или) случайного повреждения Объекта Соглашения после создания частный партнер обязан восстановить его в технико-экономических параметрах, указанных в </w:t>
      </w:r>
      <w:hyperlink w:tooltip="#p76" w:anchor="p76" w:history="1">
        <w:r>
          <w:rPr>
            <w:sz w:val="28"/>
            <w:szCs w:val="28"/>
          </w:rPr>
          <w:t xml:space="preserve">разделе 3</w:t>
        </w:r>
      </w:hyperlink>
      <w:r>
        <w:rPr>
          <w:sz w:val="28"/>
          <w:szCs w:val="28"/>
        </w:rPr>
        <w:t xml:space="preserve"> настоящих Существенных условий, за счет собственных и (или) привлеченных средств. При этом срок действия Соглашения может быть продлен на срок восстановления Объекта Соглашения;</w:t>
      </w:r>
      <w:bookmarkStart w:id="11" w:name="p223"/>
      <w:r/>
      <w:bookmarkEnd w:id="1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7.1.9. эксплуатировать и осуществлять т</w:t>
      </w:r>
      <w:r>
        <w:rPr>
          <w:sz w:val="28"/>
          <w:szCs w:val="28"/>
        </w:rPr>
        <w:t xml:space="preserve">ехническое обслуживание Объекта Соглашения в соответствии с техническими, санитарными, противопожарными, экологическими и иными обязательными правилами и нормами, в том числе обеспечивать содержание благоустройства территории Объекта Соглашения в соответст</w:t>
      </w:r>
      <w:r>
        <w:rPr>
          <w:sz w:val="28"/>
          <w:szCs w:val="28"/>
        </w:rPr>
        <w:t xml:space="preserve">вии с Правилами благоустройства территории города 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утвержденными </w:t>
      </w:r>
      <w: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Пермско</w:t>
      </w:r>
      <w:r>
        <w:rPr>
          <w:sz w:val="28"/>
          <w:szCs w:val="28"/>
        </w:rPr>
        <w:t xml:space="preserve">й городской Думы от 15 декабря 2020 г. №</w:t>
      </w:r>
      <w:r>
        <w:rPr>
          <w:sz w:val="28"/>
          <w:szCs w:val="28"/>
        </w:rPr>
        <w:t xml:space="preserve"> 277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7.1.10. производить за счет собственных и (или) привлеченных средств текущий и капитальный ремонт, нести иные расходы, связанные с эксплуатацией и техническим обслуживанием Объекта Соглашения;</w:t>
      </w:r>
      <w:bookmarkStart w:id="12" w:name="p225"/>
      <w:r/>
      <w:bookmarkEnd w:id="1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7.1.11. представлять публичному партнеру ежеквартально в срок </w:t>
      </w:r>
      <w:r>
        <w:rPr>
          <w:sz w:val="28"/>
          <w:szCs w:val="28"/>
        </w:rPr>
        <w:br/>
        <w:t xml:space="preserve">до 05 числа месяца, следующего за отчетным кварталом, информацию об объеме финансирования при исполнении обязательств и ходе выполнения мероприятий </w:t>
      </w:r>
      <w:r>
        <w:rPr>
          <w:sz w:val="28"/>
          <w:szCs w:val="28"/>
        </w:rPr>
        <w:br/>
        <w:t xml:space="preserve">по реализации Проекта МЧП, предусмотренных </w:t>
      </w:r>
      <w:hyperlink w:tooltip="#p215" w:anchor="p215" w:history="1">
        <w:r>
          <w:rPr>
            <w:sz w:val="28"/>
            <w:szCs w:val="28"/>
          </w:rPr>
          <w:t xml:space="preserve">пунктом 7.1.2</w:t>
        </w:r>
      </w:hyperlink>
      <w:r>
        <w:rPr>
          <w:sz w:val="28"/>
          <w:szCs w:val="28"/>
        </w:rPr>
        <w:t xml:space="preserve"> настоящих Существенных условий;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7.1.12. не разглашать сведения, отнесенные Соглашением к сведениям конфиденциального характера либо являющимся коммерческой или государственной тайной;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7.1.13. представлять публичному партнеру по его запросу и в сроки, установленные таким запросом, сведения и документы о ходе реализации Соглашения, подлежащие размещению в государственной автоматизированной информационной системе «Управление»;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7.1.14. обеспечить осуществление деятельности по оказанию</w:t>
      </w:r>
      <w:r>
        <w:t xml:space="preserve"> </w:t>
      </w:r>
      <w:r>
        <w:rPr>
          <w:sz w:val="28"/>
          <w:szCs w:val="28"/>
        </w:rPr>
        <w:t xml:space="preserve">населению услуг в сфере физической культуры и спорта не позднее чем через 30 календарных дней со дня государственной регистрации права собственности на Объект Соглашения до окончания срока действия Соглашения, указанного в </w:t>
      </w:r>
      <w:hyperlink w:tooltip="#p191" w:anchor="p191" w:history="1">
        <w:r>
          <w:rPr>
            <w:sz w:val="28"/>
            <w:szCs w:val="28"/>
          </w:rPr>
          <w:t xml:space="preserve">разделе 5</w:t>
        </w:r>
      </w:hyperlink>
      <w:r>
        <w:rPr>
          <w:sz w:val="28"/>
          <w:szCs w:val="28"/>
        </w:rPr>
        <w:t xml:space="preserve"> настоящих Существенных условий;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7.1.15. не передавать в залог Объект Соглашения и свои права по Соглашению;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7.1.16. не отчуждать Объект Соглашения до истечения срока действия Соглашения, за исключением замены частного партнера в случаях, предусмотренных </w:t>
      </w:r>
      <w:hyperlink r:id="rId16" w:tooltip="https://login.consultant.ru/link/?req=doc&amp;base=LAW&amp;n=481375&amp;date=17.04.2026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№ 224-ФЗ.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частного партнера осуществляется в соответствии с </w:t>
      </w:r>
      <w:hyperlink r:id="rId17" w:tooltip="https://login.consultant.ru/link/?req=doc&amp;base=LAW&amp;n=481375&amp;date=17.04.2026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224-ФЗ;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7.1.17. предоставить публичному партнеру выданную банком или иной кредитной организацией в соответствии с </w:t>
      </w:r>
      <w:hyperlink r:id="rId18" w:tooltip="https://login.consultant.ru/link/?req=doc&amp;base=LAW&amp;n=481375&amp;date=17.04.2026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№ 224-ФЗ независимую гарантию (банковскую гарантию) в размере 5 % от объема финансирования, указанного </w:t>
      </w:r>
      <w:r>
        <w:rPr>
          <w:sz w:val="28"/>
          <w:szCs w:val="28"/>
        </w:rPr>
        <w:br/>
        <w:t xml:space="preserve">в </w:t>
      </w:r>
      <w:hyperlink w:tooltip="#p46" w:anchor="p46" w:history="1">
        <w:r>
          <w:rPr>
            <w:sz w:val="28"/>
            <w:szCs w:val="28"/>
          </w:rPr>
          <w:t xml:space="preserve">пункте 1.2</w:t>
        </w:r>
      </w:hyperlink>
      <w:r>
        <w:rPr>
          <w:sz w:val="28"/>
          <w:szCs w:val="28"/>
        </w:rPr>
        <w:t xml:space="preserve"> настоящих Существенных условий, в обеспечение исполнения частным партнером обязательств по Соглашению.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Банковская гарантия должна быть предоставлена не позднее дня заключения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Срок действия банковской гарантии должен составлять 40 месяцев с даты заключения Соглашения;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7.1.18. своевременно представлять публичному партнеру информацию, необходимую для исполнения обязанностей по Соглашению, и незамедлительно уведомлять о наступлении существенных событий, способных повлиять на надлежащее исполнение указанных обязанностей.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Публичный партнер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обеспечить передачу в аренду земельного участка в порядке </w:t>
      </w:r>
      <w:r>
        <w:rPr>
          <w:sz w:val="28"/>
          <w:szCs w:val="28"/>
        </w:rPr>
        <w:br/>
        <w:t xml:space="preserve">и на условиях, предусмотренных </w:t>
      </w:r>
      <w:hyperlink w:tooltip="#p191" w:anchor="p191" w:history="1">
        <w:r>
          <w:rPr>
            <w:sz w:val="28"/>
            <w:szCs w:val="28"/>
          </w:rPr>
          <w:t xml:space="preserve">разделом 5</w:t>
        </w:r>
      </w:hyperlink>
      <w:r>
        <w:rPr>
          <w:sz w:val="28"/>
          <w:szCs w:val="28"/>
        </w:rPr>
        <w:t xml:space="preserve"> настоящих Существенных условий.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на момент его передачи частному партнеру должен быть свободным от прав третьих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7.2.2. не вмешиваться в финансово-хозяйственную деятельность частного партнера;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7.2.3. не разгл</w:t>
      </w:r>
      <w:r>
        <w:rPr>
          <w:sz w:val="28"/>
          <w:szCs w:val="28"/>
        </w:rPr>
        <w:t xml:space="preserve">ашать сведения, отнесенные Соглашением к сведениям конфиденциального характера либо являющимся коммерческой или государственной тайной, за исключением сведений, подлежащих размещению в государственной автоматизированной информационной системе «Управление»;</w:t>
      </w:r>
      <w:bookmarkStart w:id="13" w:name="p246"/>
      <w:r/>
      <w:bookmarkEnd w:id="1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7.2.4. осуществлять контроль за соблюдением частным партнером условий Соглашения в порядке, установленном Правительством Российской Федерации;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7.2.5. при обнаружении публичным партнером в ходе осуществления контроля за деятельностью частного партнера нарушений, которые могут существенно повлиять на соблюдение частным партнером условий Соглашения, сообщить </w:t>
      </w:r>
      <w:r>
        <w:rPr>
          <w:sz w:val="28"/>
          <w:szCs w:val="28"/>
        </w:rPr>
        <w:br/>
        <w:t xml:space="preserve">об этом частному партнеру в течение 10 рабочих дней со дня обнаружения указанных нарушений;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7.2.6. своевременно представлять частному партнеру информацию, необходимую для исполнения обязанностей по Соглашению, и незамедлительно уведомлять о наступлении существенных событий, способных повлиять на надлежащее исполнение указанных обязанностей.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Частный партнер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7.3.1. привлекать при исполнении обязательств по Соглашению третьих лиц, за действия которых он </w:t>
      </w:r>
      <w:r>
        <w:rPr>
          <w:sz w:val="28"/>
          <w:szCs w:val="28"/>
        </w:rPr>
        <w:t xml:space="preserve">отвечает</w:t>
      </w:r>
      <w:r>
        <w:rPr>
          <w:sz w:val="28"/>
          <w:szCs w:val="28"/>
        </w:rPr>
        <w:t xml:space="preserve"> как за свои собственные;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7.3.2. осуществлять при эксплуатации Объекта Соглашения деятельность, связанную с оказанием населению услуг в сфере физической культуры и спорта, не противоречащую законодательству Российской Федерации и целям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7.3.3. изменять объем финансирования, указанный в </w:t>
      </w:r>
      <w:hyperlink w:tooltip="#p46" w:anchor="p46" w:history="1">
        <w:r>
          <w:rPr>
            <w:sz w:val="28"/>
            <w:szCs w:val="28"/>
          </w:rPr>
          <w:t xml:space="preserve">пункте 1.2</w:t>
        </w:r>
      </w:hyperlink>
      <w:r>
        <w:rPr>
          <w:sz w:val="28"/>
          <w:szCs w:val="28"/>
        </w:rPr>
        <w:t xml:space="preserve"> настоящих Существенных условий, в большую сторону без предварительного согласования </w:t>
      </w:r>
      <w:r>
        <w:rPr>
          <w:sz w:val="28"/>
          <w:szCs w:val="28"/>
        </w:rPr>
        <w:br/>
        <w:t xml:space="preserve">с публичным партнером.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Публичный партнер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7.4.1. запрашивать у частного партнера информацию об исполнении частным партнером обязательств по настоящему Соглашению в рамках осуществления мероприятий, предусмотренных пунктом 7.2.4 настоящих Существенных условий;</w:t>
      </w:r>
      <w:bookmarkStart w:id="14" w:name="p255"/>
      <w:r/>
      <w:bookmarkEnd w:id="1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7.4.2. в одностороннем порядке отказаться от исполнения настоящего Соглашения в случаях:</w:t>
      </w:r>
      <w:bookmarkStart w:id="15" w:name="p256"/>
      <w:r/>
      <w:bookmarkEnd w:id="1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7.4.2.1. эксплуатации частным партнером Объекта Соглашения не по целевому назначению, указанному в </w:t>
      </w:r>
      <w:hyperlink w:tooltip="#p216" w:anchor="p216" w:history="1">
        <w:r>
          <w:rPr>
            <w:sz w:val="28"/>
            <w:szCs w:val="28"/>
          </w:rPr>
          <w:t xml:space="preserve">пункте 7.1.5</w:t>
        </w:r>
      </w:hyperlink>
      <w:r>
        <w:rPr>
          <w:sz w:val="28"/>
          <w:szCs w:val="28"/>
        </w:rPr>
        <w:t xml:space="preserve"> настоящих Существенных условий;</w:t>
      </w:r>
      <w:bookmarkStart w:id="16" w:name="p257"/>
      <w:r/>
      <w:bookmarkEnd w:id="1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7.4.2.2. если Объект Соглашения не будет введен в эксплуатацию в сроки, указанные в </w:t>
      </w:r>
      <w:hyperlink w:tooltip="#p285" w:anchor="p285" w:history="1">
        <w:r>
          <w:rPr>
            <w:sz w:val="28"/>
            <w:szCs w:val="28"/>
          </w:rPr>
          <w:t xml:space="preserve">разделе 9</w:t>
        </w:r>
      </w:hyperlink>
      <w:r>
        <w:rPr>
          <w:sz w:val="28"/>
          <w:szCs w:val="28"/>
        </w:rPr>
        <w:t xml:space="preserve"> настоящих Существенных условий.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VIII. Обязательства Сторон Соглашения в связи с досрочным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прекращением Соглашения. Порядок и сроки возмещения расходов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Сторон Соглашения, в том числе в случае его досрочного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прекращения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В случае досрочного прекращения настоящего Соглашения </w:t>
      </w:r>
      <w:r>
        <w:rPr>
          <w:sz w:val="28"/>
          <w:szCs w:val="28"/>
        </w:rPr>
        <w:br/>
        <w:t xml:space="preserve">в соответствии с </w:t>
      </w:r>
      <w:hyperlink w:tooltip="#p255" w:anchor="p255" w:history="1">
        <w:r>
          <w:rPr>
            <w:sz w:val="28"/>
            <w:szCs w:val="28"/>
          </w:rPr>
          <w:t xml:space="preserve">пунктом 7.4.2</w:t>
        </w:r>
      </w:hyperlink>
      <w:r>
        <w:rPr>
          <w:sz w:val="28"/>
          <w:szCs w:val="28"/>
        </w:rPr>
        <w:t xml:space="preserve"> настоящих Существенных условий публичный партнер направляет частному партнеру уведомление об отказе от исполнения Соглашения. Соглашение прекращается через 30 календарных дней со дня получения уведомления частным партнером.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В случае досрочного прекращения Соглашения в соответствии с </w:t>
      </w:r>
      <w:hyperlink w:tooltip="#p257" w:anchor="p257" w:history="1">
        <w:r>
          <w:rPr>
            <w:sz w:val="28"/>
            <w:szCs w:val="28"/>
          </w:rPr>
          <w:t xml:space="preserve">пунктом 7.4.2.2</w:t>
        </w:r>
      </w:hyperlink>
      <w:r>
        <w:rPr>
          <w:sz w:val="28"/>
          <w:szCs w:val="28"/>
        </w:rPr>
        <w:t xml:space="preserve"> настоящих Существенных условий частный партнер обязан не позднее 30 рабочих дней со дня досрочного прекращения Соглашения передать безвозмездно Объект Со</w:t>
      </w:r>
      <w:r>
        <w:rPr>
          <w:sz w:val="28"/>
          <w:szCs w:val="28"/>
        </w:rPr>
        <w:t xml:space="preserve">глашения, в том числе Права на результаты интеллектуальной деятельности (в том числе авторские и интеллектуальные права на разработанную проектную документацию в отношении Объекта Соглашения, паспорт внешнего облика Объекта Соглашения) публичному партнеру.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В случае досрочного прекращения Соглашения в соответствии с </w:t>
      </w:r>
      <w:hyperlink w:tooltip="#p256" w:anchor="p256" w:history="1">
        <w:r>
          <w:rPr>
            <w:sz w:val="28"/>
            <w:szCs w:val="28"/>
          </w:rPr>
          <w:t xml:space="preserve">пунктом 7.4.2.1</w:t>
        </w:r>
      </w:hyperlink>
      <w:r>
        <w:rPr>
          <w:sz w:val="28"/>
          <w:szCs w:val="28"/>
        </w:rPr>
        <w:t xml:space="preserve"> настоящих Существенных условий частный партнер вправе потребовать от публичного партнера возмещения р</w:t>
      </w:r>
      <w:r>
        <w:rPr>
          <w:sz w:val="28"/>
          <w:szCs w:val="28"/>
        </w:rPr>
        <w:t xml:space="preserve">асходов на создание Объекта Соглашения, уменьшенных на сумму убытков, причиненных публичному партнеру таким досрочным прекращением, а публичный партнер – передачу в муниципальную собственность Объекта Соглашения и результатов интеллектуальной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расходов на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Объекта Соглашения осуществляется </w:t>
      </w:r>
      <w:r>
        <w:rPr>
          <w:sz w:val="28"/>
          <w:szCs w:val="28"/>
        </w:rPr>
        <w:br/>
        <w:t xml:space="preserve">на основании заключенного между частным партнером и публичным партнером Соглашения о возмещении расходов.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частный партнер не обратился в течение 30 дней </w:t>
      </w:r>
      <w:r>
        <w:rPr>
          <w:sz w:val="28"/>
          <w:szCs w:val="28"/>
        </w:rPr>
        <w:t xml:space="preserve">с даты расторжения Соглашения к публичному партнеру о заключении Соглашения о возмещении расходов с приложением документально подтвержденных затрат на создание Объекта Соглашения, публичный партнер вправе отказать частному партнеру в возмещении расходов на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Объекта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недостижения</w:t>
      </w:r>
      <w:r>
        <w:rPr>
          <w:sz w:val="28"/>
          <w:szCs w:val="28"/>
        </w:rPr>
        <w:t xml:space="preserve"> согласия между частным партнером и публичным партнером по вопросу о раз</w:t>
      </w:r>
      <w:r>
        <w:rPr>
          <w:sz w:val="28"/>
          <w:szCs w:val="28"/>
        </w:rPr>
        <w:t xml:space="preserve">мере и порядке подлежащих возмещению расходов либо иным вопросам, связанным с возмещением расходов и передачей Объекта Соглашения и результатов интеллектуальной деятельности в муниципальную собственность, спор разрешается в Арбитражном суде Пермского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В случае досрочного расторжения Соглашения по основаниям, не указанным в </w:t>
      </w:r>
      <w:hyperlink w:tooltip="#p255" w:anchor="p255" w:history="1">
        <w:r>
          <w:rPr>
            <w:sz w:val="28"/>
            <w:szCs w:val="28"/>
          </w:rPr>
          <w:t xml:space="preserve">пункте 7.4.2</w:t>
        </w:r>
      </w:hyperlink>
      <w:r>
        <w:rPr>
          <w:sz w:val="28"/>
          <w:szCs w:val="28"/>
        </w:rPr>
        <w:t xml:space="preserve"> настоящих Существенных условий, частный партнер вправе </w:t>
      </w:r>
      <w:r>
        <w:rPr>
          <w:sz w:val="28"/>
          <w:szCs w:val="28"/>
        </w:rPr>
        <w:t xml:space="preserve">потребовать от публичного партнера возмещения расходов на создание Объекта Соглашения, уменьшенных на сумму убытков, причиненных публичному партнеру таким досрочным прекращением.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расходов на создание Объекта Соглашения осуществляется </w:t>
      </w:r>
      <w:r>
        <w:rPr>
          <w:sz w:val="28"/>
          <w:szCs w:val="28"/>
        </w:rPr>
        <w:br/>
        <w:t xml:space="preserve">на основании заключенного между частным партнером и публичным партнером Соглашения о возмещении расходов.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частный партнер не обратился в течение 30 дней с даты расторжения Соглашения</w:t>
      </w:r>
      <w:r>
        <w:rPr>
          <w:sz w:val="28"/>
          <w:szCs w:val="28"/>
        </w:rPr>
        <w:t xml:space="preserve"> к публичному партнеру о заключении Соглашения о возмещении расходов с приложением документально подтвержденных затрат на создание Объекта Соглашения, публичный партнер вправе отказать частному партнеру в возмещении расходов на создание Объекта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недостижения</w:t>
      </w:r>
      <w:r>
        <w:rPr>
          <w:sz w:val="28"/>
          <w:szCs w:val="28"/>
        </w:rPr>
        <w:t xml:space="preserve"> согласия между частным партнером и публичным партнером по вопросу о размере и порядке подлежащих возмещению расходов либо иным вопросам, связанным с возмещением расходов, спор разрешается в Арбитражном суде Пермского края.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7" w:name="p275"/>
      <w:r/>
      <w:bookmarkEnd w:id="1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/>
      <w:bookmarkStart w:id="18" w:name="p285"/>
      <w:r/>
      <w:bookmarkEnd w:id="18"/>
      <w:r>
        <w:rPr>
          <w:b/>
          <w:bCs/>
          <w:sz w:val="28"/>
          <w:szCs w:val="28"/>
        </w:rPr>
        <w:t xml:space="preserve">IX. Сроки исполнения обязательств частного партнера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Соглашению и виды работ </w:t>
      </w:r>
      <w:r>
        <w:rPr>
          <w:b/>
          <w:bCs/>
          <w:sz w:val="28"/>
          <w:szCs w:val="28"/>
        </w:rPr>
        <w:t xml:space="preserve">по созданию</w:t>
      </w:r>
      <w:r>
        <w:rPr>
          <w:b/>
          <w:bCs/>
          <w:sz w:val="28"/>
          <w:szCs w:val="28"/>
        </w:rPr>
        <w:t xml:space="preserve"> Объекта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График исполнения частным партнером обязательств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по реализации Проекта МЧП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260"/>
        <w:gridCol w:w="609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реализации Проекта МЧП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проектной документации для создания Объекта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94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6 месяцев со дня заключения договора аренды Земельного участка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экспертизы проектной документации (при необходимости)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94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3 месяцев с даты разработки проектной документации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разрешения на строительство Объекта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94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3 месяцев со дня получения положительного заключения экспертизы проектной документации либо разработки проектной документации в случае если прохождение экспертизы не требуется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Объекта Соглашения и ввод Объекта Соглашения в эксплуатацию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94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18 месяцев со дня получения разрешения на строительство Объекта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обязательств по Соглашению в части эксплуатации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94" w:type="dxa"/>
            <w:textDirection w:val="lrTb"/>
            <w:noWrap w:val="false"/>
          </w:tcPr>
          <w:p>
            <w:pPr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срока действия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X. Способы обеспечения исполнения частным партнером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обязательств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Частный партнер обязан предоставить публичному партнеру выданную банком или иной кредитной организацией в соответствии с </w:t>
      </w:r>
      <w:hyperlink r:id="rId19" w:tooltip="https://login.consultant.ru/link/?req=doc&amp;base=LAW&amp;n=481375&amp;date=17.04.2026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№ 224-ФЗ независимую гарантию (банковскую гарантию) в размере 5 % от объема финансирования, указанного в </w:t>
      </w:r>
      <w:hyperlink w:tooltip="#p46" w:anchor="p46" w:history="1">
        <w:r>
          <w:rPr>
            <w:sz w:val="28"/>
            <w:szCs w:val="28"/>
          </w:rPr>
          <w:t xml:space="preserve">пункте 1.2</w:t>
        </w:r>
      </w:hyperlink>
      <w:r>
        <w:rPr>
          <w:sz w:val="28"/>
          <w:szCs w:val="28"/>
        </w:rPr>
        <w:t xml:space="preserve"> настоящих Существенных условий, в обеспечение исполнения частным партнером обязательств по Соглашению.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Банковская гарантия должна быть предоставлена не позднее дня заключения Соглашения.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Срок действия банковской гарантии должен составлять 40 месяцев с даты заключения Соглашения.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XI. Ответственность Сторон Соглашения в случае неисполнения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или ненадлежащего исполнения обязательств по Соглашению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11.1. Стороны несут ответственность за неисполнение либо ненадлежащее исполнение принятых на себя по Соглашению обязательств в соответствии </w:t>
      </w:r>
      <w:r>
        <w:rPr>
          <w:sz w:val="28"/>
          <w:szCs w:val="28"/>
        </w:rPr>
        <w:br/>
        <w:t xml:space="preserve">с законодательством Российской Федерации и условиями Соглашения.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11.2. В случае нарушения частным партнером требований, указанных </w:t>
      </w:r>
      <w:r>
        <w:rPr>
          <w:sz w:val="28"/>
          <w:szCs w:val="28"/>
        </w:rPr>
        <w:br/>
        <w:t xml:space="preserve">в </w:t>
      </w:r>
      <w:hyperlink w:tooltip="#p215" w:anchor="p215" w:history="1">
        <w:r>
          <w:rPr>
            <w:sz w:val="28"/>
            <w:szCs w:val="28"/>
          </w:rPr>
          <w:t xml:space="preserve">пунктах 7.1.2</w:t>
        </w:r>
      </w:hyperlink>
      <w:r>
        <w:rPr>
          <w:sz w:val="28"/>
          <w:szCs w:val="28"/>
        </w:rPr>
        <w:t xml:space="preserve">, </w:t>
      </w:r>
      <w:hyperlink w:tooltip="#p217" w:anchor="p217" w:history="1">
        <w:r>
          <w:rPr>
            <w:sz w:val="28"/>
            <w:szCs w:val="28"/>
          </w:rPr>
          <w:t xml:space="preserve">7.1.6</w:t>
        </w:r>
      </w:hyperlink>
      <w:r>
        <w:rPr>
          <w:sz w:val="28"/>
          <w:szCs w:val="28"/>
        </w:rPr>
        <w:t xml:space="preserve">, </w:t>
      </w:r>
      <w:hyperlink w:tooltip="#p223" w:anchor="p223" w:history="1">
        <w:r>
          <w:rPr>
            <w:sz w:val="28"/>
            <w:szCs w:val="28"/>
          </w:rPr>
          <w:t xml:space="preserve">7.1.9</w:t>
        </w:r>
      </w:hyperlink>
      <w:r>
        <w:rPr>
          <w:sz w:val="28"/>
          <w:szCs w:val="28"/>
        </w:rPr>
        <w:t xml:space="preserve">, </w:t>
      </w:r>
      <w:hyperlink w:tooltip="#p225" w:anchor="p225" w:history="1">
        <w:r>
          <w:rPr>
            <w:sz w:val="28"/>
            <w:szCs w:val="28"/>
          </w:rPr>
          <w:t xml:space="preserve">7.1.11</w:t>
        </w:r>
      </w:hyperlink>
      <w:r>
        <w:rPr>
          <w:sz w:val="28"/>
          <w:szCs w:val="28"/>
        </w:rPr>
        <w:t xml:space="preserve">, </w:t>
      </w:r>
      <w:hyperlink w:tooltip="#p237" w:anchor="p237" w:history="1">
        <w:r>
          <w:rPr>
            <w:sz w:val="28"/>
            <w:szCs w:val="28"/>
          </w:rPr>
          <w:t xml:space="preserve">7.1.17</w:t>
        </w:r>
      </w:hyperlink>
      <w:r>
        <w:rPr>
          <w:sz w:val="28"/>
          <w:szCs w:val="28"/>
        </w:rPr>
        <w:t xml:space="preserve"> настоящих Существенных условий, публичный партнер обязан в течение 10 рабочих дней с момента обнаружения нарушения направить частному партнеру претензию об устранении частным партнером выявленного нарушения в срок, предусмотренный в претензии.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установленный срок частный партнер не устранит нарушения, публичный партнер вправе требовать от частного партнера выплату неустойки в размере 0,01 % от суммы финансирования, указанной в </w:t>
      </w:r>
      <w:hyperlink w:tooltip="#p46" w:anchor="p46" w:history="1">
        <w:r>
          <w:rPr>
            <w:sz w:val="28"/>
            <w:szCs w:val="28"/>
          </w:rPr>
          <w:t xml:space="preserve">пункте 1.2</w:t>
        </w:r>
      </w:hyperlink>
      <w:r>
        <w:rPr>
          <w:sz w:val="28"/>
          <w:szCs w:val="28"/>
        </w:rPr>
        <w:t xml:space="preserve"> настоящих Существенных условий, за каждый день просрочки неисполнения претензии </w:t>
      </w:r>
      <w:r>
        <w:rPr>
          <w:sz w:val="28"/>
          <w:szCs w:val="28"/>
        </w:rPr>
        <w:br/>
        <w:t xml:space="preserve">до даты ее фактического исполнения.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11.3. Частный партнер несет ответственность в соответствии с Гражданским </w:t>
      </w:r>
      <w:hyperlink r:id="rId20" w:tooltip="https://login.consultant.ru/link/?req=doc&amp;base=LAW&amp;n=482692&amp;date=17.04.2026" w:history="1">
        <w:r>
          <w:rPr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Российской Федерации перед публичным партнером за неисполнение обязательств, предусмотренных </w:t>
      </w:r>
      <w:hyperlink w:tooltip="#p275" w:anchor="p275" w:history="1">
        <w:r>
          <w:rPr>
            <w:sz w:val="28"/>
            <w:szCs w:val="28"/>
          </w:rPr>
          <w:t xml:space="preserve">разделом 9</w:t>
        </w:r>
      </w:hyperlink>
      <w:r>
        <w:rPr>
          <w:sz w:val="28"/>
          <w:szCs w:val="28"/>
        </w:rPr>
        <w:t xml:space="preserve"> настоящих Существенных условий.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88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62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Главы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05.05.2026 № 63</w:t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/>
      <w:bookmarkStart w:id="19" w:name="p381"/>
      <w:r/>
      <w:bookmarkEnd w:id="19"/>
      <w:r>
        <w:rPr>
          <w:b/>
          <w:bCs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заключения соглашения о </w:t>
      </w:r>
      <w:r>
        <w:rPr>
          <w:b/>
          <w:bCs/>
          <w:sz w:val="28"/>
          <w:szCs w:val="28"/>
        </w:rPr>
        <w:t xml:space="preserve">муниципально</w:t>
      </w:r>
      <w:r>
        <w:rPr>
          <w:b/>
          <w:bCs/>
          <w:sz w:val="28"/>
          <w:szCs w:val="28"/>
        </w:rPr>
        <w:t xml:space="preserve">-частном партнерстве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отношении создания, эксплуатации и технического обслуживания </w:t>
      </w:r>
      <w:r>
        <w:rPr>
          <w:b/>
          <w:bCs/>
          <w:sz w:val="28"/>
          <w:szCs w:val="28"/>
        </w:rPr>
        <w:br/>
        <w:t xml:space="preserve">многофункционального физкультурно-образовательного комплекса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адресу: г. Пермь, ул. Сибирская, 44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</w:pPr>
      <w:r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 xml:space="preserve">о муниципально-частном партнерстве </w:t>
      </w:r>
      <w:r>
        <w:rPr>
          <w:sz w:val="28"/>
          <w:szCs w:val="28"/>
        </w:rPr>
        <w:t xml:space="preserve">в отношении создания, эксплуатации и технического обслуживания многофункционального физкультурно-образовательного комплекса </w:t>
      </w:r>
      <w:r>
        <w:rPr>
          <w:sz w:val="28"/>
          <w:szCs w:val="28"/>
        </w:rPr>
        <w:t xml:space="preserve">по адресу: г. Пермь, ул. Сибирская, 44 </w:t>
      </w:r>
      <w:r>
        <w:rPr>
          <w:sz w:val="28"/>
          <w:szCs w:val="28"/>
        </w:rPr>
        <w:t xml:space="preserve">заключается в порядке, установленном Федеральным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от 13 июля 2015 г. № 224-ФЗ «О государственно-частном партнерстве,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</w:t>
      </w:r>
      <w:hyperlink r:id="rId21" w:tooltip="https://login.consultant.ru/link/?req=doc&amp;base=RLAW368&amp;n=138463&amp;date=17.04.2026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14 апреля 2017 г. № 290 «Об утверждении Порядка взаимодействия функциональных органов администрации города Перми при реализации проектов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-частного партнерства в городе Перми». </w:t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62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</w:style>
  <w:style w:type="paragraph" w:styleId="701">
    <w:name w:val="Heading 1"/>
    <w:basedOn w:val="700"/>
    <w:next w:val="700"/>
    <w:link w:val="729"/>
    <w:qFormat/>
    <w:pPr>
      <w:ind w:right="-1" w:firstLine="709"/>
      <w:jc w:val="both"/>
      <w:keepNext/>
      <w:outlineLvl w:val="0"/>
    </w:pPr>
    <w:rPr>
      <w:sz w:val="24"/>
    </w:rPr>
  </w:style>
  <w:style w:type="paragraph" w:styleId="702">
    <w:name w:val="Heading 2"/>
    <w:basedOn w:val="700"/>
    <w:next w:val="700"/>
    <w:link w:val="730"/>
    <w:qFormat/>
    <w:pPr>
      <w:ind w:right="-1"/>
      <w:jc w:val="both"/>
      <w:keepNext/>
      <w:outlineLvl w:val="1"/>
    </w:pPr>
    <w:rPr>
      <w:sz w:val="24"/>
    </w:rPr>
  </w:style>
  <w:style w:type="paragraph" w:styleId="703">
    <w:name w:val="Heading 3"/>
    <w:basedOn w:val="700"/>
    <w:next w:val="700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10"/>
    <w:uiPriority w:val="10"/>
    <w:rPr>
      <w:sz w:val="48"/>
      <w:szCs w:val="48"/>
    </w:rPr>
  </w:style>
  <w:style w:type="character" w:styleId="723" w:customStyle="1">
    <w:name w:val="Subtitle Char"/>
    <w:basedOn w:val="710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Caption Char"/>
    <w:uiPriority w:val="99"/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Endnote Text Char"/>
    <w:uiPriority w:val="99"/>
    <w:rPr>
      <w:sz w:val="20"/>
    </w:rPr>
  </w:style>
  <w:style w:type="character" w:styleId="729" w:customStyle="1">
    <w:name w:val="Заголовок 1 Знак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700"/>
    <w:next w:val="700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 w:customStyle="1">
    <w:name w:val="Название Знак"/>
    <w:basedOn w:val="710"/>
    <w:link w:val="738"/>
    <w:uiPriority w:val="10"/>
    <w:rPr>
      <w:sz w:val="48"/>
      <w:szCs w:val="48"/>
    </w:rPr>
  </w:style>
  <w:style w:type="paragraph" w:styleId="740">
    <w:name w:val="Subtitle"/>
    <w:basedOn w:val="700"/>
    <w:next w:val="700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 w:customStyle="1">
    <w:name w:val="Подзаголовок Знак"/>
    <w:basedOn w:val="710"/>
    <w:link w:val="740"/>
    <w:uiPriority w:val="11"/>
    <w:rPr>
      <w:sz w:val="24"/>
      <w:szCs w:val="24"/>
    </w:rPr>
  </w:style>
  <w:style w:type="paragraph" w:styleId="742">
    <w:name w:val="Quote"/>
    <w:basedOn w:val="700"/>
    <w:next w:val="700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00"/>
    <w:next w:val="700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character" w:styleId="746" w:customStyle="1">
    <w:name w:val="Header Char"/>
    <w:basedOn w:val="710"/>
    <w:uiPriority w:val="99"/>
  </w:style>
  <w:style w:type="character" w:styleId="747" w:customStyle="1">
    <w:name w:val="Footer Char"/>
    <w:basedOn w:val="710"/>
    <w:uiPriority w:val="99"/>
  </w:style>
  <w:style w:type="character" w:styleId="748" w:customStyle="1">
    <w:name w:val="Название объекта Знак"/>
    <w:basedOn w:val="710"/>
    <w:link w:val="891"/>
    <w:uiPriority w:val="35"/>
    <w:rPr>
      <w:b/>
      <w:bCs/>
      <w:color w:val="5b9bd5" w:themeColor="accent1"/>
      <w:sz w:val="18"/>
      <w:szCs w:val="18"/>
    </w:rPr>
  </w:style>
  <w:style w:type="table" w:styleId="749" w:customStyle="1">
    <w:name w:val="Table Grid Light"/>
    <w:basedOn w:val="7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1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1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1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1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1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1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1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1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1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1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1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1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1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1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1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1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1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1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1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1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1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1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8" w:customStyle="1">
    <w:name w:val="Grid Table 4 - Accent 2"/>
    <w:basedOn w:val="71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9" w:customStyle="1">
    <w:name w:val="Grid Table 4 - Accent 3"/>
    <w:basedOn w:val="71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0" w:customStyle="1">
    <w:name w:val="Grid Table 4 - Accent 4"/>
    <w:basedOn w:val="71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1" w:customStyle="1">
    <w:name w:val="Grid Table 4 - Accent 5"/>
    <w:basedOn w:val="71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2" w:customStyle="1">
    <w:name w:val="Grid Table 4 - Accent 6"/>
    <w:basedOn w:val="71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3">
    <w:name w:val="Grid Table 5 Dark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1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1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2" w:customStyle="1">
    <w:name w:val="Grid Table 6 Colorful - Accent 2"/>
    <w:basedOn w:val="71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3" w:customStyle="1">
    <w:name w:val="Grid Table 6 Colorful - Accent 3"/>
    <w:basedOn w:val="71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4" w:customStyle="1">
    <w:name w:val="Grid Table 6 Colorful - Accent 4"/>
    <w:basedOn w:val="71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5" w:customStyle="1">
    <w:name w:val="Grid Table 6 Colorful - Accent 5"/>
    <w:basedOn w:val="71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 w:customStyle="1">
    <w:name w:val="Grid Table 6 Colorful - Accent 6"/>
    <w:basedOn w:val="71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>
    <w:name w:val="Grid Table 7 Colorful"/>
    <w:basedOn w:val="71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71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71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71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71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71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71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71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1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1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1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1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1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1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1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1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1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1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1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1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1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1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1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1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1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1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1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1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1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1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1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1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1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1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1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1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1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1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1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1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1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1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1" w:customStyle="1">
    <w:name w:val="List Table 6 Colorful - Accent 2"/>
    <w:basedOn w:val="71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List Table 6 Colorful - Accent 3"/>
    <w:basedOn w:val="71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3" w:customStyle="1">
    <w:name w:val="List Table 6 Colorful - Accent 4"/>
    <w:basedOn w:val="71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List Table 6 Colorful - Accent 5"/>
    <w:basedOn w:val="71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5" w:customStyle="1">
    <w:name w:val="List Table 6 Colorful - Accent 6"/>
    <w:basedOn w:val="71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6">
    <w:name w:val="List Table 7 Colorful"/>
    <w:basedOn w:val="71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71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71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71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71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71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71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Lined - Accent 2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Lined - Accent 3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Lined - Accent 4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Lined - Accent 5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Lined - Accent 6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 &amp; Lined - Accent"/>
    <w:basedOn w:val="71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1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Bordered &amp; Lined - Accent 2"/>
    <w:basedOn w:val="71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Bordered &amp; Lined - Accent 3"/>
    <w:basedOn w:val="71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Bordered &amp; Lined - Accent 4"/>
    <w:basedOn w:val="71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Bordered &amp; Lined - Accent 5"/>
    <w:basedOn w:val="71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Bordered &amp; Lined - Accent 6"/>
    <w:basedOn w:val="71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"/>
    <w:basedOn w:val="71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1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9" w:customStyle="1">
    <w:name w:val="Bordered - Accent 2"/>
    <w:basedOn w:val="71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0" w:customStyle="1">
    <w:name w:val="Bordered - Accent 3"/>
    <w:basedOn w:val="71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1" w:customStyle="1">
    <w:name w:val="Bordered - Accent 4"/>
    <w:basedOn w:val="71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2" w:customStyle="1">
    <w:name w:val="Bordered - Accent 5"/>
    <w:basedOn w:val="71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3" w:customStyle="1">
    <w:name w:val="Bordered - Accent 6"/>
    <w:basedOn w:val="71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4">
    <w:name w:val="footnote text"/>
    <w:basedOn w:val="700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10"/>
    <w:uiPriority w:val="99"/>
    <w:unhideWhenUsed/>
    <w:rPr>
      <w:vertAlign w:val="superscript"/>
    </w:rPr>
  </w:style>
  <w:style w:type="paragraph" w:styleId="877">
    <w:name w:val="endnote text"/>
    <w:basedOn w:val="700"/>
    <w:link w:val="878"/>
    <w:uiPriority w:val="99"/>
    <w:semiHidden/>
    <w:unhideWhenUsed/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0"/>
    <w:uiPriority w:val="99"/>
    <w:semiHidden/>
    <w:unhideWhenUsed/>
    <w:rPr>
      <w:vertAlign w:val="superscript"/>
    </w:rPr>
  </w:style>
  <w:style w:type="paragraph" w:styleId="880">
    <w:name w:val="toc 1"/>
    <w:basedOn w:val="700"/>
    <w:next w:val="700"/>
    <w:uiPriority w:val="39"/>
    <w:unhideWhenUsed/>
    <w:pPr>
      <w:spacing w:after="57"/>
    </w:pPr>
  </w:style>
  <w:style w:type="paragraph" w:styleId="881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2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83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84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85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86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87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88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0"/>
    <w:next w:val="700"/>
    <w:uiPriority w:val="99"/>
    <w:unhideWhenUsed/>
  </w:style>
  <w:style w:type="paragraph" w:styleId="891">
    <w:name w:val="Caption"/>
    <w:basedOn w:val="700"/>
    <w:next w:val="700"/>
    <w:link w:val="74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Body Text"/>
    <w:basedOn w:val="700"/>
    <w:link w:val="920"/>
    <w:pPr>
      <w:ind w:right="3117"/>
    </w:pPr>
    <w:rPr>
      <w:rFonts w:ascii="Courier New" w:hAnsi="Courier New"/>
      <w:sz w:val="26"/>
    </w:rPr>
  </w:style>
  <w:style w:type="paragraph" w:styleId="893">
    <w:name w:val="Body Text Indent"/>
    <w:basedOn w:val="700"/>
    <w:pPr>
      <w:ind w:right="-1"/>
      <w:jc w:val="both"/>
    </w:pPr>
    <w:rPr>
      <w:sz w:val="26"/>
    </w:rPr>
  </w:style>
  <w:style w:type="paragraph" w:styleId="894">
    <w:name w:val="Footer"/>
    <w:basedOn w:val="700"/>
    <w:link w:val="979"/>
    <w:uiPriority w:val="99"/>
    <w:pPr>
      <w:tabs>
        <w:tab w:val="center" w:pos="4153" w:leader="none"/>
        <w:tab w:val="right" w:pos="8306" w:leader="none"/>
      </w:tabs>
    </w:pPr>
  </w:style>
  <w:style w:type="character" w:styleId="895">
    <w:name w:val="page number"/>
    <w:basedOn w:val="710"/>
  </w:style>
  <w:style w:type="paragraph" w:styleId="896">
    <w:name w:val="Header"/>
    <w:basedOn w:val="700"/>
    <w:link w:val="899"/>
    <w:uiPriority w:val="99"/>
    <w:pPr>
      <w:tabs>
        <w:tab w:val="center" w:pos="4153" w:leader="none"/>
        <w:tab w:val="right" w:pos="8306" w:leader="none"/>
      </w:tabs>
    </w:pPr>
  </w:style>
  <w:style w:type="paragraph" w:styleId="897">
    <w:name w:val="Balloon Text"/>
    <w:basedOn w:val="700"/>
    <w:link w:val="898"/>
    <w:uiPriority w:val="99"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link w:val="897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Верхний колонтитул Знак"/>
    <w:link w:val="896"/>
    <w:uiPriority w:val="99"/>
  </w:style>
  <w:style w:type="numbering" w:styleId="900" w:customStyle="1">
    <w:name w:val="Нет списка1"/>
    <w:next w:val="712"/>
    <w:uiPriority w:val="99"/>
    <w:semiHidden/>
    <w:unhideWhenUsed/>
  </w:style>
  <w:style w:type="paragraph" w:styleId="90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2">
    <w:name w:val="Hyperlink"/>
    <w:uiPriority w:val="99"/>
    <w:unhideWhenUsed/>
    <w:rPr>
      <w:color w:val="0000ff"/>
      <w:u w:val="single"/>
    </w:rPr>
  </w:style>
  <w:style w:type="character" w:styleId="903">
    <w:name w:val="FollowedHyperlink"/>
    <w:uiPriority w:val="99"/>
    <w:unhideWhenUsed/>
    <w:rPr>
      <w:color w:val="800080"/>
      <w:u w:val="single"/>
    </w:rPr>
  </w:style>
  <w:style w:type="paragraph" w:styleId="904" w:customStyle="1">
    <w:name w:val="xl65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6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7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7" w:customStyle="1">
    <w:name w:val="xl68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 w:customStyle="1">
    <w:name w:val="xl69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0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 w:customStyle="1">
    <w:name w:val="xl71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2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3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4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5"/>
    <w:basedOn w:val="70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6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7"/>
    <w:basedOn w:val="70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8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9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Форма"/>
    <w:rPr>
      <w:sz w:val="28"/>
      <w:szCs w:val="28"/>
    </w:rPr>
  </w:style>
  <w:style w:type="character" w:styleId="920" w:customStyle="1">
    <w:name w:val="Основной текст Знак"/>
    <w:link w:val="892"/>
    <w:rPr>
      <w:rFonts w:ascii="Courier New" w:hAnsi="Courier New"/>
      <w:sz w:val="26"/>
    </w:rPr>
  </w:style>
  <w:style w:type="paragraph" w:styleId="921" w:customStyle="1">
    <w:name w:val="ConsPlusNormal"/>
    <w:rPr>
      <w:sz w:val="28"/>
      <w:szCs w:val="28"/>
    </w:rPr>
  </w:style>
  <w:style w:type="numbering" w:styleId="922" w:customStyle="1">
    <w:name w:val="Нет списка11"/>
    <w:next w:val="712"/>
    <w:uiPriority w:val="99"/>
    <w:semiHidden/>
    <w:unhideWhenUsed/>
  </w:style>
  <w:style w:type="numbering" w:styleId="923" w:customStyle="1">
    <w:name w:val="Нет списка111"/>
    <w:next w:val="712"/>
    <w:uiPriority w:val="99"/>
    <w:semiHidden/>
    <w:unhideWhenUsed/>
  </w:style>
  <w:style w:type="paragraph" w:styleId="924" w:customStyle="1">
    <w:name w:val="font5"/>
    <w:basedOn w:val="70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5" w:customStyle="1">
    <w:name w:val="xl80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1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2"/>
    <w:basedOn w:val="70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8">
    <w:name w:val="Table Grid"/>
    <w:basedOn w:val="711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 w:customStyle="1">
    <w:name w:val="xl8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88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9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0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1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2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9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4"/>
    <w:basedOn w:val="70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8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 w:customStyle="1">
    <w:name w:val="xl99"/>
    <w:basedOn w:val="70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100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1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2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3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8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9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0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1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2"/>
    <w:basedOn w:val="70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 w:customStyle="1">
    <w:name w:val="xl113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4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5"/>
    <w:basedOn w:val="70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 w:customStyle="1">
    <w:name w:val="xl116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7"/>
    <w:basedOn w:val="70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8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9"/>
    <w:basedOn w:val="70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20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1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2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 w:customStyle="1">
    <w:name w:val="Нет списка2"/>
    <w:next w:val="712"/>
    <w:uiPriority w:val="99"/>
    <w:semiHidden/>
    <w:unhideWhenUsed/>
  </w:style>
  <w:style w:type="numbering" w:styleId="973" w:customStyle="1">
    <w:name w:val="Нет списка3"/>
    <w:next w:val="712"/>
    <w:uiPriority w:val="99"/>
    <w:semiHidden/>
    <w:unhideWhenUsed/>
  </w:style>
  <w:style w:type="paragraph" w:styleId="974" w:customStyle="1">
    <w:name w:val="font6"/>
    <w:basedOn w:val="7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 w:customStyle="1">
    <w:name w:val="font7"/>
    <w:basedOn w:val="7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8"/>
    <w:basedOn w:val="70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 w:customStyle="1">
    <w:name w:val="Нет списка4"/>
    <w:next w:val="712"/>
    <w:uiPriority w:val="99"/>
    <w:semiHidden/>
    <w:unhideWhenUsed/>
  </w:style>
  <w:style w:type="paragraph" w:styleId="978">
    <w:name w:val="List Paragraph"/>
    <w:basedOn w:val="70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9" w:customStyle="1">
    <w:name w:val="Нижний колонтитул Знак"/>
    <w:link w:val="894"/>
    <w:uiPriority w:val="99"/>
  </w:style>
  <w:style w:type="paragraph" w:styleId="980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8&amp;n=182742&amp;date=17.04.2026" TargetMode="External"/><Relationship Id="rId14" Type="http://schemas.openxmlformats.org/officeDocument/2006/relationships/hyperlink" Target="https://login.consultant.ru/link/?req=doc&amp;base=LAW&amp;n=481375&amp;dst=37&amp;field=134&amp;date=17.04.2026" TargetMode="External"/><Relationship Id="rId15" Type="http://schemas.openxmlformats.org/officeDocument/2006/relationships/hyperlink" Target="https://login.consultant.ru/link/?req=doc&amp;base=RLAW368&amp;n=195580&amp;date=17.04.2026" TargetMode="External"/><Relationship Id="rId16" Type="http://schemas.openxmlformats.org/officeDocument/2006/relationships/hyperlink" Target="https://login.consultant.ru/link/?req=doc&amp;base=LAW&amp;n=481375&amp;date=17.04.2026" TargetMode="External"/><Relationship Id="rId17" Type="http://schemas.openxmlformats.org/officeDocument/2006/relationships/hyperlink" Target="https://login.consultant.ru/link/?req=doc&amp;base=LAW&amp;n=481375&amp;date=17.04.2026" TargetMode="External"/><Relationship Id="rId18" Type="http://schemas.openxmlformats.org/officeDocument/2006/relationships/hyperlink" Target="https://login.consultant.ru/link/?req=doc&amp;base=LAW&amp;n=481375&amp;date=17.04.2026" TargetMode="External"/><Relationship Id="rId19" Type="http://schemas.openxmlformats.org/officeDocument/2006/relationships/hyperlink" Target="https://login.consultant.ru/link/?req=doc&amp;base=LAW&amp;n=481375&amp;date=17.04.2026" TargetMode="External"/><Relationship Id="rId20" Type="http://schemas.openxmlformats.org/officeDocument/2006/relationships/hyperlink" Target="https://login.consultant.ru/link/?req=doc&amp;base=LAW&amp;n=482692&amp;date=17.04.2026" TargetMode="External"/><Relationship Id="rId21" Type="http://schemas.openxmlformats.org/officeDocument/2006/relationships/hyperlink" Target="https://login.consultant.ru/link/?req=doc&amp;base=RLAW368&amp;n=138463&amp;date=17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5F789-8581-42F6-82EA-47351D4D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7</cp:revision>
  <dcterms:created xsi:type="dcterms:W3CDTF">2026-04-30T07:16:00Z</dcterms:created>
  <dcterms:modified xsi:type="dcterms:W3CDTF">2026-05-05T11:24:23Z</dcterms:modified>
</cp:coreProperties>
</file>