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78"/>
        <w:ind w:right="0"/>
        <w:jc w:val="both"/>
        <w:rPr>
          <w:rFonts w:ascii="Times New Roman" w:hAnsi="Times New Roman"/>
          <w:sz w:val="24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2947035</wp:posOffset>
                </wp:positionH>
                <wp:positionV relativeFrom="paragraph">
                  <wp:posOffset>-575945</wp:posOffset>
                </wp:positionV>
                <wp:extent cx="407035" cy="495300"/>
                <wp:effectExtent l="0" t="0" r="0" b="0"/>
                <wp:wrapNone/>
                <wp:docPr id="1" name="Рисунок 1026" descr="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95498273" name="Picture 1026" descr="1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407034" cy="495299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8240;o:allowoverlap:true;o:allowincell:true;mso-position-horizontal-relative:text;margin-left:232.05pt;mso-position-horizontal:absolute;mso-position-vertical-relative:text;margin-top:-45.35pt;mso-position-vertical:absolute;width:32.05pt;height:39.00pt;mso-wrap-distance-left:9.00pt;mso-wrap-distance-top:0.00pt;mso-wrap-distance-right:9.00pt;mso-wrap-distance-bottom:0.00pt;" stroked="false">
                <v:path textboxrect="0,0,0,0"/>
                <v:imagedata r:id="rId11" o:title=""/>
              </v:shape>
            </w:pict>
          </mc:Fallback>
        </mc:AlternateContent>
      </w:r>
      <w:bookmarkStart w:id="0" w:name="_GoBack"/>
      <w:r/>
      <w:bookmarkEnd w:id="0"/>
      <w:r>
        <w:rPr>
          <w:rFonts w:ascii="Times New Roman" w:hAnsi="Times New Roman"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-575945</wp:posOffset>
                </wp:positionV>
                <wp:extent cx="6285865" cy="1661795"/>
                <wp:effectExtent l="0" t="0" r="0" b="0"/>
                <wp:wrapNone/>
                <wp:docPr id="2" name="Group 10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285865" cy="1661795"/>
                          <a:chOff x="1430" y="657"/>
                          <a:chExt cx="9899" cy="2617"/>
                        </a:xfrm>
                      </wpg:grpSpPr>
                      <wps:wsp>
                        <wps:cNvPr id="0" name=""/>
                        <wps:cNvSpPr txBox="1">
                          <a:spLocks noChangeArrowheads="1"/>
                        </wps:cNvSpPr>
                        <wps:spPr bwMode="auto">
                          <a:xfrm>
                            <a:off x="1430" y="657"/>
                            <a:ext cx="9899" cy="261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  <a:miter/>
                          </a:ln>
                        </wps:spPr>
                        <wps:txbx>
                          <w:txbxContent>
                            <w:p>
                              <w:pPr>
                                <w:pStyle w:val="882"/>
                                <w:jc w:val="center"/>
                                <w:tabs>
                                  <w:tab w:val="clear" w:pos="4153" w:leader="none"/>
                                  <w:tab w:val="clear" w:pos="8306" w:leader="none"/>
                                </w:tabs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</w:p>
                            <w:p>
                              <w:pPr>
                                <w:pStyle w:val="882"/>
                                <w:jc w:val="center"/>
                                <w:tabs>
                                  <w:tab w:val="clear" w:pos="4153" w:leader="none"/>
                                  <w:tab w:val="clear" w:pos="8306" w:leader="none"/>
                                </w:tabs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</w:p>
                            <w:p>
                              <w:pPr>
                                <w:pStyle w:val="882"/>
                                <w:jc w:val="center"/>
                                <w:tabs>
                                  <w:tab w:val="clear" w:pos="4153" w:leader="none"/>
                                  <w:tab w:val="clear" w:pos="8306" w:leader="none"/>
                                </w:tabs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</w:p>
                            <w:p>
                              <w:pPr>
                                <w:pStyle w:val="877"/>
                                <w:spacing w:before="120"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ГЛАВА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 ГОРОДА ПЕРМИ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П О С Т А Н О В Л Е Н И Е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 upright="1">
                          <a:noAutofit/>
                        </wps:bodyPr>
                      </wps:wsp>
                      <wps:wsp>
                        <wps:cNvPr id="1" name=""/>
                        <wps:cNvSpPr txBox="1">
                          <a:spLocks noChangeArrowheads="1"/>
                        </wps:cNvSpPr>
                        <wps:spPr bwMode="auto">
                          <a:xfrm>
                            <a:off x="1837" y="2783"/>
                            <a:ext cx="2419" cy="4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08.05.2026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"/>
                        <wps:cNvSpPr txBox="1">
                          <a:spLocks noChangeArrowheads="1"/>
                        </wps:cNvSpPr>
                        <wps:spPr bwMode="auto">
                          <a:xfrm>
                            <a:off x="9210" y="2788"/>
                            <a:ext cx="1710" cy="48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right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№ 67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" o:spid="_x0000_s0000" style="position:absolute;z-index:251657216;o:allowoverlap:true;o:allowincell:true;mso-position-horizontal-relative:text;margin-left:0.60pt;mso-position-horizontal:absolute;mso-position-vertical-relative:text;margin-top:-45.35pt;mso-position-vertical:absolute;width:494.95pt;height:130.85pt;mso-wrap-distance-left:9.00pt;mso-wrap-distance-top:0.00pt;mso-wrap-distance-right:9.00pt;mso-wrap-distance-bottom:0.00pt;" coordorigin="14,6" coordsize="98,26">
                <v:shape id="shape 2" o:spid="_x0000_s2" o:spt="202" type="#_x0000_t202" style="position:absolute;left:14;top:6;width:98;height:26;v-text-anchor:top;visibility:visible;" fillcolor="#FFFFFF" stroked="f">
                  <v:textbox inset="0,0,0,0">
                    <w:txbxContent>
                      <w:p>
                        <w:pPr>
                          <w:pStyle w:val="882"/>
                          <w:jc w:val="center"/>
                          <w:tabs>
                            <w:tab w:val="clear" w:pos="4153" w:leader="none"/>
                            <w:tab w:val="clear" w:pos="8306" w:leader="none"/>
                          </w:tabs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</w:p>
                      <w:p>
                        <w:pPr>
                          <w:pStyle w:val="882"/>
                          <w:jc w:val="center"/>
                          <w:tabs>
                            <w:tab w:val="clear" w:pos="4153" w:leader="none"/>
                            <w:tab w:val="clear" w:pos="8306" w:leader="none"/>
                          </w:tabs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</w:p>
                      <w:p>
                        <w:pPr>
                          <w:pStyle w:val="882"/>
                          <w:jc w:val="center"/>
                          <w:tabs>
                            <w:tab w:val="clear" w:pos="4153" w:leader="none"/>
                            <w:tab w:val="clear" w:pos="8306" w:leader="none"/>
                          </w:tabs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</w:p>
                      <w:p>
                        <w:pPr>
                          <w:pStyle w:val="877"/>
                          <w:spacing w:before="120"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ГЛАВА</w:t>
                        </w:r>
                        <w:r>
                          <w:rPr>
                            <w:sz w:val="28"/>
                            <w:szCs w:val="28"/>
                          </w:rPr>
                          <w:t xml:space="preserve"> ГОРОДА ПЕРМИ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П О С Т А Н О В Л Е Н И Е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</w:p>
                    </w:txbxContent>
                  </v:textbox>
                </v:shape>
                <v:shape id="shape 3" o:spid="_x0000_s3" o:spt="202" type="#_x0000_t202" style="position:absolute;left:18;top:27;width:24;height:4;v-text-anchor:top;visibility:visible;" filled="f" stroked="f">
                  <v:textbox inset="0,0,0,0">
                    <w:txbxContent>
                      <w:p>
                        <w:pPr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08.05.2026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</w:txbxContent>
                  </v:textbox>
                </v:shape>
                <v:shape id="shape 4" o:spid="_x0000_s4" o:spt="202" type="#_x0000_t202" style="position:absolute;left:92;top:27;width:17;height:4;v-text-anchor:top;visibility:visible;" fillcolor="#FFFFFF" stroked="f">
                  <v:textbox inset="0,0,0,0">
                    <w:txbxContent>
                      <w:p>
                        <w:pPr>
                          <w:jc w:val="right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№ 67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78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78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jc w:val="both"/>
        <w:rPr>
          <w:sz w:val="24"/>
          <w:lang w:val="en-US"/>
        </w:rPr>
      </w:pPr>
      <w:r>
        <w:rPr>
          <w:sz w:val="24"/>
          <w:lang w:val="en-US"/>
        </w:rPr>
      </w:r>
      <w:r>
        <w:rPr>
          <w:sz w:val="24"/>
          <w:lang w:val="en-US"/>
        </w:rPr>
      </w:r>
      <w:r>
        <w:rPr>
          <w:sz w:val="24"/>
          <w:lang w:val="en-US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38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0"/>
        <w:jc w:val="left"/>
        <w:spacing w:line="238" w:lineRule="exact"/>
        <w:rPr>
          <w:b/>
          <w:bCs/>
          <w:color w:val="000000"/>
          <w:sz w:val="28"/>
          <w:szCs w:val="28"/>
        </w:rPr>
        <w:suppressLineNumbers w:val="0"/>
      </w:pPr>
      <w:r>
        <w:rPr>
          <w:b/>
          <w:bCs/>
          <w:color w:val="000000"/>
          <w:sz w:val="28"/>
          <w:szCs w:val="28"/>
        </w:rPr>
        <w:t xml:space="preserve">О назначении обществ</w:t>
      </w:r>
      <w:r>
        <w:rPr>
          <w:b/>
          <w:bCs/>
          <w:color w:val="000000"/>
          <w:sz w:val="28"/>
          <w:szCs w:val="28"/>
        </w:rPr>
        <w:t xml:space="preserve">енных </w:t>
      </w:r>
      <w:r>
        <w:rPr>
          <w:b/>
          <w:bCs/>
          <w:color w:val="000000"/>
          <w:sz w:val="28"/>
          <w:szCs w:val="28"/>
        </w:rPr>
        <w:br/>
      </w:r>
      <w:r>
        <w:rPr>
          <w:b/>
          <w:bCs/>
          <w:color w:val="000000"/>
          <w:sz w:val="28"/>
          <w:szCs w:val="28"/>
        </w:rPr>
        <w:t xml:space="preserve">обсуждений по рассмотрению </w:t>
      </w: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</w:p>
    <w:p>
      <w:pPr>
        <w:ind w:firstLine="0"/>
        <w:jc w:val="both"/>
        <w:spacing w:line="238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проекта </w:t>
      </w:r>
      <w:r>
        <w:rPr>
          <w:b/>
          <w:bCs/>
          <w:sz w:val="28"/>
          <w:szCs w:val="28"/>
        </w:rPr>
        <w:t xml:space="preserve">планировки территории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firstLine="0"/>
        <w:jc w:val="both"/>
        <w:spacing w:line="238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и проекта межевания территории,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firstLine="0"/>
        <w:jc w:val="both"/>
        <w:spacing w:line="238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ограниченной зданием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по ул. Борцов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firstLine="0"/>
        <w:jc w:val="both"/>
        <w:spacing w:line="238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Революции, 108, зданием по ул. Борцов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firstLine="0"/>
        <w:jc w:val="both"/>
        <w:spacing w:line="238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Революции, 110, зданием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по ул. Борцов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firstLine="0"/>
        <w:jc w:val="both"/>
        <w:spacing w:line="238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Революции, 110, стр. 1, зданием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firstLine="0"/>
        <w:jc w:val="both"/>
        <w:spacing w:line="238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по ул. 2-ой Камской, 6,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ул. Спешилова,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firstLine="0"/>
        <w:jc w:val="both"/>
        <w:spacing w:line="238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ул. Борцов Революции, зданием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firstLine="0"/>
        <w:jc w:val="both"/>
        <w:spacing w:line="238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по ул. Борцов Революции, 151б,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firstLine="0"/>
        <w:jc w:val="both"/>
        <w:spacing w:line="238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зданием по ул. Борцов Революции, 152в,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firstLine="0"/>
        <w:jc w:val="both"/>
        <w:spacing w:line="238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зданием по ул. Борцов Революции, 146а,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firstLine="0"/>
        <w:jc w:val="both"/>
        <w:spacing w:line="238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зданием по ул. Борцов Революции, 138а,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firstLine="0"/>
        <w:jc w:val="both"/>
        <w:spacing w:line="238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зданием по ул. Борцов Революции, 120б,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firstLine="0"/>
        <w:jc w:val="both"/>
        <w:spacing w:line="238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зданием по ул. Борцов Революции, 112б,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firstLine="0"/>
        <w:jc w:val="both"/>
        <w:spacing w:line="238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зданием по ул. Борцов Революции, 112,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firstLine="0"/>
        <w:jc w:val="both"/>
        <w:spacing w:line="238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зданием по ул. Борцов Революции, 111,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firstLine="0"/>
        <w:jc w:val="both"/>
        <w:spacing w:line="238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зданием по ул. Борцов Революции, 107,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firstLine="0"/>
        <w:jc w:val="both"/>
        <w:spacing w:line="238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зданием по ул. Борцов Революции, 105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firstLine="0"/>
        <w:jc w:val="both"/>
        <w:spacing w:line="238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в Ленинском районе города Перми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firstLine="0"/>
        <w:jc w:val="both"/>
        <w:spacing w:line="238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firstLine="0"/>
        <w:jc w:val="both"/>
        <w:spacing w:line="238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firstLine="0"/>
        <w:jc w:val="both"/>
        <w:spacing w:line="238" w:lineRule="exact"/>
        <w:rPr>
          <w:b/>
          <w:bCs/>
          <w:sz w:val="28"/>
          <w:szCs w:val="28"/>
        </w:rPr>
      </w:pPr>
      <w:r>
        <w:rPr>
          <w:highlight w:val="none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firstLine="720"/>
        <w:jc w:val="both"/>
        <w:spacing w:line="240" w:lineRule="auto"/>
      </w:pPr>
      <w:r>
        <w:rPr>
          <w:sz w:val="28"/>
          <w:szCs w:val="28"/>
        </w:rPr>
        <w:t xml:space="preserve">На основании Градостроительного кодекса Российской Федерации, Федера</w:t>
      </w:r>
      <w:r>
        <w:rPr>
          <w:sz w:val="28"/>
          <w:szCs w:val="28"/>
        </w:rPr>
        <w:t xml:space="preserve">ль</w:t>
      </w:r>
      <w:r>
        <w:rPr>
          <w:sz w:val="28"/>
          <w:szCs w:val="28"/>
        </w:rPr>
        <w:t xml:space="preserve">ных законов от 06 октября 2003 г. № 131-ФЗ «Об общих принципах организации местного самоуправления в Российской Федерации», </w:t>
      </w:r>
      <w:r>
        <w:rPr>
          <w:sz w:val="28"/>
          <w:szCs w:val="28"/>
        </w:rPr>
        <w:t xml:space="preserve">от 20 марта 2025 г. </w:t>
        <w:br/>
        <w:t xml:space="preserve">№ 33-ФЗ «Об общих принципах организации местного самоуправления в единой системе публичной власти», </w:t>
      </w:r>
      <w:r>
        <w:rPr>
          <w:sz w:val="28"/>
          <w:szCs w:val="28"/>
        </w:rPr>
        <w:t xml:space="preserve">Порядка подготовки документации по планировке территории Пермского городского округа, порядка принятия решения </w:t>
      </w:r>
      <w:r>
        <w:rPr>
          <w:sz w:val="28"/>
          <w:szCs w:val="28"/>
        </w:rPr>
        <w:t xml:space="preserve">об утверждении документации по планировке террит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рии для размещения объектов, указанных в части 5 статьи 45 Градостроительного кодекса Российской Федерации, подготовленной в том числе лицами, указанными в пунктах 3 и 4 части 1.1 статьи 45 Градостроительного кодекса Российской Федерации, порядка внесения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изменений в такую документацию, порядка отмены такой документации или ее отдельных частей, порядка признания отдельных частей такой документации не подлежащими применению, утвержденного постановлением Правительства Пермского края от 23 декабря 2020 г. № 1</w:t>
      </w:r>
      <w:r>
        <w:rPr>
          <w:sz w:val="28"/>
          <w:szCs w:val="28"/>
        </w:rPr>
        <w:t xml:space="preserve">028-п, приказа Министерства по управлению имуществом и градостроительной деятельности Пермского края </w:t>
      </w:r>
      <w:r>
        <w:rPr>
          <w:sz w:val="28"/>
          <w:szCs w:val="28"/>
          <w:highlight w:val="white"/>
        </w:rPr>
        <w:t xml:space="preserve">от 29 апреля </w:t>
      </w:r>
      <w:r>
        <w:rPr>
          <w:sz w:val="28"/>
          <w:szCs w:val="28"/>
          <w:highlight w:val="white"/>
        </w:rPr>
        <w:t xml:space="preserve">2026</w:t>
      </w:r>
      <w:r>
        <w:rPr>
          <w:sz w:val="28"/>
          <w:szCs w:val="28"/>
          <w:highlight w:val="white"/>
        </w:rPr>
        <w:t xml:space="preserve"> г. № 31-02-1-4-877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О </w:t>
      </w:r>
      <w:r>
        <w:rPr>
          <w:sz w:val="28"/>
          <w:szCs w:val="28"/>
        </w:rPr>
        <w:t xml:space="preserve">направлении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проекта </w:t>
      </w:r>
      <w:r>
        <w:rPr>
          <w:sz w:val="28"/>
          <w:szCs w:val="28"/>
        </w:rPr>
        <w:t xml:space="preserve">планировки территории и проекта межевания территории, ограниченной зданием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ул. Борцов Революции, 108, зданием по ул. Борцов Революции, 110, зданием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ул. Борцов Революции, 110, стр. 1, зданием по ул. 2-ой Камской, 6,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ул. Спешилова, ул. Борцов Революции, зданием </w:t>
        <w:br/>
        <w:t xml:space="preserve">по ул. Борцов Революции, 151б,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зданием по ул. Борцов Революции, 152в, зданием по ул. Борцов Революции, 146а,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зданием по ул. Борцов Революции, 138а, зданием по ул. Борцов Революции, 120б,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зданием по ул. Борцов Революции, 112б, зданием по ул. Борцов Революции, 112,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зданием по ул. Борцов Революции, 111, зданием по ул. Борцов Революции, 107,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зданием по ул. Борцов Революции, 105 в Ленинском районе города Перми,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</w:t>
      </w:r>
      <w:r>
        <w:rPr>
          <w:sz w:val="28"/>
          <w:szCs w:val="28"/>
        </w:rPr>
        <w:t xml:space="preserve">ля организации </w:t>
      </w:r>
      <w:r>
        <w:rPr>
          <w:sz w:val="28"/>
          <w:szCs w:val="28"/>
        </w:rPr>
        <w:t xml:space="preserve">и проведения общественных </w:t>
      </w:r>
      <w:r>
        <w:rPr>
          <w:sz w:val="28"/>
          <w:szCs w:val="28"/>
        </w:rPr>
        <w:t xml:space="preserve">обсуждений </w:t>
      </w:r>
      <w:r>
        <w:rPr>
          <w:sz w:val="28"/>
          <w:szCs w:val="28"/>
        </w:rPr>
        <w:t xml:space="preserve">или публичных слушаний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, Устава города Перми, </w:t>
      </w:r>
      <w:hyperlink r:id="rId12" w:tooltip="consultantplus://offline/ref=3333E7EB7C2DE1014DC29D0682D760D7B6E7C555BF85499918DF45BC5E7A33737026127397845304283D1EC0891F912C0BlEF4G" w:history="1">
        <w:r>
          <w:rPr>
            <w:sz w:val="28"/>
            <w:szCs w:val="28"/>
          </w:rPr>
          <w:t xml:space="preserve">решения</w:t>
        </w:r>
      </w:hyperlink>
      <w:r>
        <w:rPr>
          <w:sz w:val="28"/>
          <w:szCs w:val="28"/>
        </w:rPr>
        <w:t xml:space="preserve"> Пермской городской Думы </w:t>
      </w:r>
      <w:r>
        <w:rPr>
          <w:sz w:val="28"/>
          <w:szCs w:val="28"/>
        </w:rPr>
        <w:t xml:space="preserve">от 26 июня 2007 г. № 143 «Об утверждении Правил землепользования и застройки города Перми», Положения о порядке организации и проведения общественных обсуждений по во</w:t>
      </w:r>
      <w:r>
        <w:rPr>
          <w:sz w:val="28"/>
          <w:szCs w:val="28"/>
        </w:rPr>
        <w:t xml:space="preserve">просам гр</w:t>
      </w:r>
      <w:r>
        <w:rPr>
          <w:sz w:val="28"/>
          <w:szCs w:val="28"/>
        </w:rPr>
        <w:t xml:space="preserve">адостроительной деятельности в городе Перми, утвержденного решением Пермской городской Думы от 26 апреля 2022 г. </w:t>
        <w:br/>
        <w:t xml:space="preserve">№ 83, письма Министерства по управлению имуществом и градостроительной деятельности Пермского края </w:t>
      </w:r>
      <w:r>
        <w:rPr>
          <w:sz w:val="28"/>
          <w:szCs w:val="28"/>
          <w:highlight w:val="white"/>
        </w:rPr>
        <w:t xml:space="preserve">от 30 апреля </w:t>
      </w:r>
      <w:r>
        <w:rPr>
          <w:sz w:val="28"/>
          <w:szCs w:val="28"/>
          <w:highlight w:val="white"/>
        </w:rPr>
        <w:t xml:space="preserve">2026 г. № 31-07-1-5исх-</w:t>
      </w:r>
      <w:r>
        <w:rPr>
          <w:sz w:val="28"/>
          <w:szCs w:val="28"/>
          <w:highlight w:val="white"/>
        </w:rPr>
        <w:t xml:space="preserve">327</w:t>
      </w:r>
      <w:r>
        <w:rPr>
          <w:sz w:val="28"/>
          <w:szCs w:val="28"/>
          <w:highlight w:val="white"/>
        </w:rPr>
        <w:t xml:space="preserve">,</w:t>
      </w:r>
      <w:r>
        <w:rPr>
          <w:sz w:val="28"/>
          <w:szCs w:val="28"/>
        </w:rPr>
        <w:t xml:space="preserve"> заключения Министерства по управлению имуществом и градостроительной деятельности Пермского края о</w:t>
      </w:r>
      <w:r>
        <w:rPr>
          <w:sz w:val="28"/>
          <w:szCs w:val="28"/>
        </w:rPr>
        <w:t xml:space="preserve"> соответствии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проекта </w:t>
      </w:r>
      <w:r>
        <w:rPr>
          <w:sz w:val="28"/>
          <w:szCs w:val="28"/>
        </w:rPr>
        <w:t xml:space="preserve">планировки территории и проекта межевания территории, ограниченной зданием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ул. Борцов Революции, 108, зданием по ул. Борцов Революции, 110, зданием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ул. Борцов Революции, 110, стр. 1, зданием по ул. 2-ой Камской, 6,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ул. Спешилова, ул. Борцов Революции, зданием </w:t>
        <w:br/>
        <w:t xml:space="preserve">по ул. Борцов Революции, 151б,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зданием по ул. Борцов Революции, 152в, зданием по ул. Борцов Революции, 146а,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зданием по ул. Борцов Революции, 138а, зданием по ул. Борцов Революции, 120б,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зданием по ул. Борцов Революции, 112б, зданием по ул. Борцов Революции, 112,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зданием по ул. Борцов Революции, 111, зданием </w:t>
        <w:br/>
        <w:t xml:space="preserve">по ул. Борцов Революции, 107,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зданием по ул. Борцов Революции, 105 в Ленинском районе города Перми, </w:t>
      </w:r>
      <w:r>
        <w:rPr>
          <w:sz w:val="28"/>
          <w:szCs w:val="28"/>
        </w:rPr>
        <w:t xml:space="preserve">тр</w:t>
      </w:r>
      <w:r>
        <w:rPr>
          <w:sz w:val="28"/>
          <w:szCs w:val="28"/>
        </w:rPr>
        <w:t xml:space="preserve">ебованиям градостроительного законодательства Российской Федерации от 29 апреля </w:t>
      </w:r>
      <w:r>
        <w:rPr>
          <w:sz w:val="28"/>
          <w:szCs w:val="28"/>
          <w:highlight w:val="white"/>
        </w:rPr>
        <w:t xml:space="preserve">2026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г</w:t>
      </w:r>
      <w:r>
        <w:rPr>
          <w:sz w:val="28"/>
          <w:szCs w:val="28"/>
          <w:highlight w:val="white"/>
        </w:rPr>
        <w:t xml:space="preserve">.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</w:rPr>
      </w:r>
      <w:r/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ПОСТАНОВЛЯЮ: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</w:pPr>
      <w:r>
        <w:rPr>
          <w:sz w:val="28"/>
          <w:szCs w:val="28"/>
        </w:rPr>
        <w:t xml:space="preserve">1. Назначить общественные обсуждения по рассмотре</w:t>
      </w:r>
      <w:r>
        <w:rPr>
          <w:sz w:val="28"/>
          <w:szCs w:val="28"/>
        </w:rPr>
        <w:t xml:space="preserve">нию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проекта </w:t>
      </w:r>
      <w:r>
        <w:rPr>
          <w:sz w:val="28"/>
          <w:szCs w:val="28"/>
        </w:rPr>
        <w:t xml:space="preserve">планировки территории и проекта межевания территории, ограниченной зданием</w:t>
      </w:r>
      <w:r>
        <w:rPr>
          <w:sz w:val="28"/>
          <w:szCs w:val="28"/>
        </w:rPr>
        <w:t xml:space="preserve"> </w:t>
        <w:br/>
      </w:r>
      <w:r>
        <w:rPr>
          <w:sz w:val="28"/>
          <w:szCs w:val="28"/>
        </w:rPr>
        <w:t xml:space="preserve">по ул. Борцов Революции, 108, зданием по ул. Борцов Революции, 110, зданием </w:t>
        <w:br/>
      </w:r>
      <w:r>
        <w:rPr>
          <w:sz w:val="28"/>
          <w:szCs w:val="28"/>
        </w:rPr>
        <w:t xml:space="preserve">по ул. Борцов Революции, 110, стр. 1, зданием по ул. 2-ой Камской, 6,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ул. Спешилова, ул. Борцов Революции, зданием по ул. Борцов Революции, 151б,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зданием </w:t>
        <w:br/>
        <w:t xml:space="preserve">по ул. Борцов Революции, 152в, зданием по ул. Борцов Революции, 146а,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зданием по ул. Борцов Революции, 138а, зданием по ул. Борцов Революции, 120б,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зданием по ул. Борцов Революции, 112б, зданием по ул. Борцов Революции, 112,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зданием по ул. Борцов Революции, 111, зданием по ул. Борцов Революции, 107,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зданием </w:t>
        <w:br/>
        <w:t xml:space="preserve">по ул. Борцов Революции, 105 в Ленинском районе города Перми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(далее − Проект).</w:t>
      </w:r>
      <w:r>
        <w:rPr>
          <w:sz w:val="28"/>
          <w:szCs w:val="28"/>
        </w:rPr>
      </w:r>
      <w:r/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Департаменту градостроительства и архитектуры адми</w:t>
      </w:r>
      <w:r>
        <w:rPr>
          <w:sz w:val="28"/>
          <w:szCs w:val="28"/>
        </w:rPr>
        <w:t xml:space="preserve">нистрации города </w:t>
      </w:r>
      <w:r>
        <w:rPr>
          <w:sz w:val="28"/>
          <w:szCs w:val="28"/>
        </w:rPr>
        <w:t xml:space="preserve">Перми: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обеспечить размещение Проекта с информационными материал</w:t>
      </w:r>
      <w:r>
        <w:rPr>
          <w:sz w:val="28"/>
          <w:szCs w:val="28"/>
        </w:rPr>
        <w:t xml:space="preserve">ами </w:t>
        <w:br/>
      </w:r>
      <w:r>
        <w:rPr>
          <w:sz w:val="28"/>
          <w:szCs w:val="28"/>
        </w:rPr>
        <w:t xml:space="preserve">к нему, направленных Министерством по управлению имуществом </w:t>
      </w:r>
      <w:r>
        <w:rPr>
          <w:sz w:val="28"/>
          <w:szCs w:val="28"/>
        </w:rPr>
        <w:t xml:space="preserve">и градостроительной деятельности Пермского края, 19 мая </w:t>
      </w:r>
      <w:r>
        <w:rPr>
          <w:sz w:val="28"/>
          <w:szCs w:val="28"/>
        </w:rPr>
        <w:t xml:space="preserve">2026 г. </w:t>
      </w:r>
      <w:r>
        <w:rPr>
          <w:sz w:val="28"/>
          <w:szCs w:val="28"/>
        </w:rPr>
        <w:t xml:space="preserve">одновременно: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>
        <w:rPr>
          <w:rFonts w:eastAsia="Calibri"/>
          <w:bCs/>
          <w:sz w:val="28"/>
          <w:szCs w:val="28"/>
          <w:lang w:eastAsia="en-US"/>
        </w:rPr>
        <w:t xml:space="preserve">муниципальной информационной системе, обеспеч</w:t>
      </w:r>
      <w:r>
        <w:rPr>
          <w:rFonts w:eastAsia="Calibri"/>
          <w:bCs/>
          <w:sz w:val="28"/>
          <w:szCs w:val="28"/>
          <w:lang w:eastAsia="en-US"/>
        </w:rPr>
        <w:t xml:space="preserve">ивающей проведение общественных обсуждений с использованием информационно-телекоммуникационной сети Интернет, размещенной по адресу: </w:t>
      </w:r>
      <w:r>
        <w:rPr>
          <w:rFonts w:eastAsia="Calibri"/>
          <w:sz w:val="28"/>
          <w:szCs w:val="28"/>
          <w:shd w:val="clear" w:color="auto" w:fill="ffffff"/>
          <w:lang w:eastAsia="en-US"/>
        </w:rPr>
        <w:t xml:space="preserve">isogd.gorodperm.ru</w:t>
      </w:r>
      <w:r>
        <w:rPr>
          <w:rFonts w:eastAsia="Calibri"/>
          <w:bCs/>
          <w:sz w:val="28"/>
          <w:szCs w:val="28"/>
          <w:lang w:eastAsia="en-US"/>
        </w:rPr>
        <w:t xml:space="preserve"> (далее – Информационная система);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сетевом издани</w:t>
      </w:r>
      <w:r>
        <w:rPr>
          <w:sz w:val="28"/>
          <w:szCs w:val="28"/>
        </w:rPr>
        <w:t xml:space="preserve">и «Официальный сайт муниципального образования город Пермь </w:t>
      </w:r>
      <w:hyperlink r:id="rId13" w:tooltip="http://www.gorodperm.ru" w:history="1">
        <w:r>
          <w:rPr>
            <w:rStyle w:val="853"/>
            <w:color w:val="000000"/>
            <w:sz w:val="28"/>
            <w:szCs w:val="28"/>
            <w:u w:val="none"/>
          </w:rPr>
          <w:t xml:space="preserve">www.gorodperm.ru</w:t>
        </w:r>
      </w:hyperlink>
      <w:r>
        <w:rPr>
          <w:sz w:val="28"/>
          <w:szCs w:val="28"/>
        </w:rPr>
        <w:t xml:space="preserve">» (далее – Официальный сайт);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направить Проект с перечнем информационных материалов к нему </w:t>
      </w:r>
      <w:r>
        <w:rPr>
          <w:sz w:val="28"/>
          <w:szCs w:val="28"/>
        </w:rPr>
        <w:t xml:space="preserve">в территориальный организационный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</w:t>
      </w:r>
      <w:r>
        <w:rPr>
          <w:sz w:val="28"/>
          <w:szCs w:val="28"/>
        </w:rPr>
        <w:t xml:space="preserve">митет по</w:t>
      </w:r>
      <w:r>
        <w:rPr>
          <w:sz w:val="28"/>
          <w:szCs w:val="28"/>
        </w:rPr>
        <w:t xml:space="preserve"> проведению общественных обсуждений по вопросам градостроительной деятельности при администрации Ленинского района города Перми (далее – Территориальный организационный комитет) для организации проведения общественных обсуждений по Проекту;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 осуществить сбор предложений и замечаний участников общественных обсуждений по Проекту;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2.4. осуществить идентификацию участников общественных обсуждений при подготовке протокола общественных обсуждений по Проекту </w:t>
      </w:r>
      <w:r>
        <w:rPr>
          <w:sz w:val="28"/>
          <w:szCs w:val="28"/>
        </w:rPr>
        <w:t xml:space="preserve">при представлении предложений и за</w:t>
      </w:r>
      <w:r>
        <w:rPr>
          <w:sz w:val="28"/>
          <w:szCs w:val="28"/>
        </w:rPr>
        <w:t xml:space="preserve">мечаний участниками общественных обсуждений в случаях, указанных в пункте 6.2 настоящего постановления;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2.5. подготовить протокол участников общественных обсуждений, заключение о результатах общественных обсуждений по Проекту;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2.6. обеспечить опубликование</w:t>
      </w:r>
      <w:r>
        <w:rPr>
          <w:sz w:val="28"/>
          <w:szCs w:val="28"/>
        </w:rPr>
        <w:t xml:space="preserve"> заключения о результатах общественных обсуждений в печатном средстве массовой информации «Официальный бюллетень органов местного самоуправления муниципального образования город Пермь» и разместить на Официальном сайте;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2.7. разместить заключение о результ</w:t>
      </w:r>
      <w:r>
        <w:rPr>
          <w:sz w:val="28"/>
          <w:szCs w:val="28"/>
        </w:rPr>
        <w:t xml:space="preserve">атах общественных обсуждений </w:t>
      </w:r>
      <w:r>
        <w:rPr>
          <w:sz w:val="28"/>
          <w:szCs w:val="28"/>
        </w:rPr>
        <w:t xml:space="preserve">в Информационной системе;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2.8. направить протокол общественных обсуждений, заключение </w:t>
      </w:r>
      <w:r>
        <w:rPr>
          <w:sz w:val="28"/>
          <w:szCs w:val="28"/>
        </w:rPr>
        <w:t xml:space="preserve">о результатах общественных обсуждений в Министерство по управлению имуществом и градостроительной деятельности Пермского края в установленн</w:t>
      </w:r>
      <w:r>
        <w:rPr>
          <w:sz w:val="28"/>
          <w:szCs w:val="28"/>
        </w:rPr>
        <w:t xml:space="preserve">ые сроки.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Территориальному организационному комитету: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распространить информацию о начале общественных обсуждений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по Проекту, в том числе путем размещения на информационных стендах и иными способами, обеспечивающими доступ участников общественных о</w:t>
      </w:r>
      <w:r>
        <w:rPr>
          <w:sz w:val="28"/>
          <w:szCs w:val="28"/>
        </w:rPr>
        <w:t xml:space="preserve">бсуждений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к указанной информации;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 распространить информационные материалы о Проекте в период проведения экспозиции (экспозиций) Проекта посредством направления </w:t>
      </w:r>
      <w:r>
        <w:rPr>
          <w:sz w:val="28"/>
          <w:szCs w:val="28"/>
        </w:rPr>
        <w:t xml:space="preserve">их в органы территориального общественного самоуправления;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3.3. организовать проведение эк</w:t>
      </w:r>
      <w:r>
        <w:rPr>
          <w:sz w:val="28"/>
          <w:szCs w:val="28"/>
        </w:rPr>
        <w:t xml:space="preserve">спозиции Проекта с перечнем информационных материалов к нему (далее − экспозиция) </w:t>
      </w:r>
      <w:r>
        <w:rPr>
          <w:sz w:val="28"/>
          <w:szCs w:val="28"/>
          <w:highlight w:val="white"/>
        </w:rPr>
        <w:t xml:space="preserve">с 19 мая 2026 г. </w:t>
      </w:r>
      <w:r>
        <w:rPr>
          <w:sz w:val="28"/>
          <w:szCs w:val="28"/>
          <w:highlight w:val="white"/>
        </w:rPr>
        <w:t xml:space="preserve">по 22 мая 2026 г.: вторник-четверг </w:t>
      </w:r>
      <w:r>
        <w:rPr>
          <w:sz w:val="28"/>
          <w:szCs w:val="28"/>
          <w:highlight w:val="white"/>
        </w:rPr>
        <w:t xml:space="preserve">−</w:t>
      </w:r>
      <w:r>
        <w:rPr>
          <w:sz w:val="28"/>
          <w:szCs w:val="28"/>
          <w:highlight w:val="white"/>
        </w:rPr>
        <w:t xml:space="preserve"> с 09.00 час. до 18.00 час.</w:t>
      </w:r>
      <w:r>
        <w:rPr>
          <w:sz w:val="28"/>
          <w:szCs w:val="28"/>
          <w:highlight w:val="white"/>
        </w:rPr>
        <w:t xml:space="preserve">, пятница </w:t>
      </w:r>
      <w:r>
        <w:rPr>
          <w:sz w:val="28"/>
          <w:szCs w:val="28"/>
          <w:highlight w:val="white"/>
        </w:rPr>
        <w:t xml:space="preserve">−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с 09.00 час. до 17.00 час</w:t>
      </w:r>
      <w:r>
        <w:rPr>
          <w:sz w:val="28"/>
          <w:szCs w:val="28"/>
          <w:highlight w:val="white"/>
        </w:rPr>
        <w:t xml:space="preserve">.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по адресу:</w:t>
      </w:r>
      <w:r>
        <w:rPr>
          <w:sz w:val="28"/>
          <w:szCs w:val="28"/>
          <w:highlight w:val="white"/>
        </w:rPr>
        <w:t xml:space="preserve"> </w:t>
      </w:r>
      <w:r>
        <w:rPr>
          <w:color w:val="000000"/>
          <w:sz w:val="28"/>
          <w:szCs w:val="28"/>
        </w:rPr>
        <w:t xml:space="preserve">614000, г. Пермь, ул. Пермская, 57, администрация Ленинского района города Перм</w:t>
      </w:r>
      <w:r>
        <w:rPr>
          <w:color w:val="000000"/>
          <w:sz w:val="28"/>
          <w:szCs w:val="28"/>
        </w:rPr>
        <w:t xml:space="preserve">и</w:t>
      </w:r>
      <w:r>
        <w:rPr>
          <w:color w:val="000000"/>
          <w:sz w:val="28"/>
          <w:szCs w:val="28"/>
          <w:highlight w:val="white"/>
        </w:rPr>
        <w:t xml:space="preserve">;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20"/>
        <w:jc w:val="both"/>
        <w:rPr>
          <w:color w:val="000000"/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3.4. организовать консультирование посетителей экспозиции Проекта</w:t>
      </w:r>
      <w:r>
        <w:rPr>
          <w:sz w:val="28"/>
          <w:szCs w:val="28"/>
          <w:highlight w:val="white"/>
        </w:rPr>
        <w:t xml:space="preserve"> 20 мая </w:t>
      </w:r>
      <w:r>
        <w:rPr>
          <w:color w:val="000000"/>
          <w:sz w:val="28"/>
          <w:highlight w:val="white"/>
        </w:rPr>
        <w:t xml:space="preserve">2026 г. </w:t>
      </w:r>
      <w:r>
        <w:rPr>
          <w:color w:val="000000"/>
          <w:sz w:val="28"/>
          <w:szCs w:val="28"/>
          <w:highlight w:val="white"/>
        </w:rPr>
        <w:t xml:space="preserve">с 17.00 час. до 17.20 час. </w:t>
      </w:r>
      <w:r>
        <w:rPr>
          <w:color w:val="000000"/>
          <w:sz w:val="28"/>
          <w:szCs w:val="28"/>
          <w:highlight w:val="white"/>
        </w:rPr>
        <w:t xml:space="preserve">по</w:t>
      </w:r>
      <w:r>
        <w:rPr>
          <w:color w:val="000000"/>
          <w:sz w:val="28"/>
          <w:szCs w:val="28"/>
          <w:highlight w:val="white"/>
        </w:rPr>
        <w:t xml:space="preserve"> адресу</w:t>
      </w:r>
      <w:r>
        <w:rPr>
          <w:color w:val="000000"/>
          <w:sz w:val="28"/>
          <w:szCs w:val="28"/>
          <w:highlight w:val="white"/>
        </w:rPr>
        <w:t xml:space="preserve">:</w:t>
      </w:r>
      <w:r>
        <w:rPr>
          <w:color w:val="000000"/>
          <w:sz w:val="28"/>
          <w:szCs w:val="28"/>
          <w:highlight w:val="white"/>
        </w:rPr>
        <w:t xml:space="preserve"> </w:t>
      </w:r>
      <w:r>
        <w:rPr>
          <w:color w:val="000000"/>
          <w:sz w:val="28"/>
          <w:szCs w:val="28"/>
        </w:rPr>
        <w:t xml:space="preserve">614000, г. Пермь, ул. Пермская, 57, </w:t>
        <w:br/>
        <w:t xml:space="preserve">каб. 15, администрация Ленинского района города Перм</w:t>
      </w:r>
      <w:r>
        <w:rPr>
          <w:color w:val="000000"/>
          <w:sz w:val="28"/>
          <w:szCs w:val="28"/>
        </w:rPr>
        <w:t xml:space="preserve">и</w:t>
      </w:r>
      <w:r>
        <w:rPr>
          <w:color w:val="000000"/>
          <w:sz w:val="28"/>
          <w:highlight w:val="white"/>
        </w:rPr>
        <w:t xml:space="preserve">;</w:t>
      </w:r>
      <w:r>
        <w:rPr>
          <w:color w:val="000000"/>
          <w:sz w:val="28"/>
          <w:szCs w:val="28"/>
          <w:highlight w:val="white"/>
        </w:rPr>
        <w:t xml:space="preserve"> </w:t>
      </w:r>
      <w:r>
        <w:rPr>
          <w:color w:val="000000"/>
          <w:sz w:val="28"/>
          <w:szCs w:val="28"/>
          <w:highlight w:val="white"/>
        </w:rPr>
      </w:r>
      <w:r>
        <w:rPr>
          <w:color w:val="000000"/>
          <w:sz w:val="28"/>
          <w:szCs w:val="28"/>
          <w:highlight w:val="white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3.5. осуществить ведение книги (журнала) учета посетителей экспозиции Проекта при проведении экспозиции (экспозиций) Проекта и консультирования посетителей экспозиции Проекта;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3.6. провести идентификацию участников общественных обсуждений </w:t>
      </w:r>
      <w:r>
        <w:rPr>
          <w:sz w:val="28"/>
          <w:szCs w:val="28"/>
        </w:rPr>
        <w:t xml:space="preserve">при организац</w:t>
      </w:r>
      <w:r>
        <w:rPr>
          <w:sz w:val="28"/>
          <w:szCs w:val="28"/>
        </w:rPr>
        <w:t xml:space="preserve">ии проведения экспозиции Проекта и консультирования посетителей экспозиции Проекта, при представлении предложений и замечаний участниками общественных обсуждений в случае, указанном в пункте 6.1 настоящего постановления;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3.7. осуществить сбор замечаний и п</w:t>
      </w:r>
      <w:r>
        <w:rPr>
          <w:sz w:val="28"/>
          <w:szCs w:val="28"/>
        </w:rPr>
        <w:t xml:space="preserve">редложений участников общественных обсуждений по Проекту, поступающих в ходе проведения экспозиции Проекта;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3.8. направить документы (сведения), предусмотренные пунктами 3.5-3.7 настоящего постановления, в департамент градостроительства и архитектуры администрации го</w:t>
      </w:r>
      <w:r>
        <w:rPr>
          <w:sz w:val="28"/>
          <w:szCs w:val="28"/>
        </w:rPr>
        <w:t xml:space="preserve">рода Перми в установленные сроки.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Срок проведения общественных обсуждений составляет не менее четырнадцати дней и не более тридцати дней со дня опубликования настоящего постановления до дня опубликования заключения о результатах общественных обсуждений </w:t>
      </w:r>
      <w:r>
        <w:rPr>
          <w:sz w:val="28"/>
          <w:szCs w:val="28"/>
        </w:rPr>
        <w:t xml:space="preserve">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Участникам общественных обсуждений по Проекту в соответствии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с требованиями статьи 5.1 Градостроительного кодекса Ро</w:t>
      </w:r>
      <w:r>
        <w:rPr>
          <w:sz w:val="28"/>
          <w:szCs w:val="28"/>
        </w:rPr>
        <w:t xml:space="preserve">ссийской Федерации обеспечить: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5.1. представление в целях идентификации сведений о себе (фамилия, имя, отчество (при наличии), дата рождения, адрес места жительства (регистрации) − для физических лиц; наименование, основной государственный регистрационный </w:t>
      </w:r>
      <w:r>
        <w:rPr>
          <w:sz w:val="28"/>
          <w:szCs w:val="28"/>
        </w:rPr>
        <w:t xml:space="preserve">номер, место нахождения и адрес − для юридических лиц) с приложением документов, подтверждающих такие сведения;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5.2. представление сведений о правах на земельные участки, объекты капитального строительства, помещения, являющиеся частью указанных объектов к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питального строительства, из Единого государственного реестра недвижимости </w:t>
        <w:br/>
        <w:t xml:space="preserve">и иных документов, устанавливающих или удостоверяющих их права на такие земельные участки, объекты капитального строительства, помещения, являющиеся частью указанных объектов капит</w:t>
      </w:r>
      <w:r>
        <w:rPr>
          <w:sz w:val="28"/>
          <w:szCs w:val="28"/>
        </w:rPr>
        <w:t xml:space="preserve">ального строительства.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Участникам общественных обсуждений, прошедшим идентификацию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в соответствии с пунктом 5 настоящего постановления, представить предложения и замечания (при наличии) по Проекту </w:t>
      </w:r>
      <w:r>
        <w:rPr>
          <w:sz w:val="28"/>
          <w:szCs w:val="28"/>
        </w:rPr>
        <w:t xml:space="preserve">по фор</w:t>
      </w:r>
      <w:r>
        <w:rPr>
          <w:sz w:val="28"/>
          <w:szCs w:val="28"/>
        </w:rPr>
        <w:t xml:space="preserve">ме согласно приложению 1 </w:t>
      </w:r>
      <w:r>
        <w:rPr>
          <w:sz w:val="28"/>
          <w:szCs w:val="28"/>
        </w:rPr>
        <w:br/>
        <w:t xml:space="preserve">к Положению о порядке организации и проведения общественных обсуждений </w:t>
      </w:r>
      <w:r>
        <w:rPr>
          <w:sz w:val="28"/>
          <w:szCs w:val="28"/>
        </w:rPr>
        <w:br/>
        <w:t xml:space="preserve">по вопросам градостроительной деятельности в городе Перми</w:t>
      </w:r>
      <w:r>
        <w:rPr>
          <w:sz w:val="28"/>
          <w:szCs w:val="28"/>
        </w:rPr>
        <w:t xml:space="preserve">, утвержденному</w:t>
      </w:r>
      <w:r>
        <w:rPr>
          <w:sz w:val="28"/>
          <w:szCs w:val="28"/>
        </w:rPr>
        <w:t xml:space="preserve"> решением Пермской городской Думы</w:t>
      </w:r>
      <w:r>
        <w:rPr>
          <w:sz w:val="28"/>
          <w:szCs w:val="28"/>
        </w:rPr>
        <w:t xml:space="preserve"> от 26 апреля 2022 г. № 83: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  <w:highlight w:val="white"/>
        </w:rPr>
      </w:pPr>
      <w:r>
        <w:rPr>
          <w:rFonts w:eastAsia="Calibri"/>
          <w:bCs/>
          <w:sz w:val="28"/>
          <w:szCs w:val="28"/>
          <w:lang w:eastAsia="en-US"/>
        </w:rPr>
        <w:t xml:space="preserve">6.1. в </w:t>
      </w:r>
      <w:r>
        <w:rPr>
          <w:sz w:val="28"/>
          <w:szCs w:val="28"/>
        </w:rPr>
        <w:t xml:space="preserve">Территориальный организационный комитет по адресу, указанному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в пункте 3.3 настоящего постановления, посредством записи в книге (журнале) учета посетителей экспозиции Проекта и информационных материалов к нему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в период </w:t>
      </w:r>
      <w:r>
        <w:rPr>
          <w:sz w:val="28"/>
          <w:szCs w:val="28"/>
        </w:rPr>
        <w:t xml:space="preserve">проведения экспозиции</w:t>
      </w:r>
      <w:r>
        <w:rPr>
          <w:sz w:val="28"/>
          <w:szCs w:val="28"/>
          <w:highlight w:val="white"/>
        </w:rPr>
        <w:t xml:space="preserve"> с 19 мая 2026 г. по 22 мая 2026 г</w:t>
      </w:r>
      <w:r>
        <w:rPr>
          <w:sz w:val="28"/>
          <w:szCs w:val="28"/>
          <w:highlight w:val="white"/>
        </w:rPr>
        <w:t xml:space="preserve">.;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20"/>
        <w:jc w:val="both"/>
        <w:rPr>
          <w:sz w:val="28"/>
          <w:szCs w:val="28"/>
          <w:highlight w:val="yellow"/>
        </w:rPr>
      </w:pPr>
      <w:r>
        <w:rPr>
          <w:rFonts w:eastAsia="Calibri"/>
          <w:bCs/>
          <w:sz w:val="28"/>
          <w:szCs w:val="28"/>
          <w:highlight w:val="white"/>
          <w:lang w:eastAsia="en-US"/>
        </w:rPr>
        <w:t xml:space="preserve">6.2. в </w:t>
      </w:r>
      <w:r>
        <w:rPr>
          <w:sz w:val="28"/>
          <w:szCs w:val="28"/>
          <w:highlight w:val="white"/>
        </w:rPr>
        <w:t xml:space="preserve">департамент градостроительства и архитектуры администрации города Перми со дня размещения Проекта с перечнем информационных материалов </w:t>
        <w:br/>
        <w:t xml:space="preserve">к нему на Официальном сайте по 22 мая </w:t>
      </w:r>
      <w:r>
        <w:rPr>
          <w:sz w:val="28"/>
          <w:szCs w:val="28"/>
          <w:highlight w:val="white"/>
        </w:rPr>
        <w:t xml:space="preserve">2026 </w:t>
      </w:r>
      <w:r>
        <w:rPr>
          <w:sz w:val="28"/>
          <w:szCs w:val="28"/>
          <w:highlight w:val="white"/>
        </w:rPr>
        <w:t xml:space="preserve">г.:</w:t>
      </w:r>
      <w:r>
        <w:rPr>
          <w:sz w:val="28"/>
          <w:szCs w:val="28"/>
          <w:highlight w:val="yellow"/>
        </w:rPr>
      </w:r>
      <w:r>
        <w:rPr>
          <w:sz w:val="28"/>
          <w:szCs w:val="28"/>
          <w:highlight w:val="yellow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6.2.1. </w:t>
      </w:r>
      <w:r>
        <w:rPr>
          <w:rFonts w:eastAsia="Calibri"/>
          <w:bCs/>
          <w:sz w:val="28"/>
          <w:szCs w:val="28"/>
          <w:lang w:eastAsia="en-US"/>
        </w:rPr>
        <w:t xml:space="preserve">посредством Информационной системы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  <w:lang w:eastAsia="en-US"/>
        </w:rPr>
        <w:t xml:space="preserve">6.2.2. в форме электронного документа</w:t>
      </w:r>
      <w:r>
        <w:rPr>
          <w:sz w:val="28"/>
          <w:szCs w:val="28"/>
        </w:rPr>
        <w:t xml:space="preserve"> </w:t>
      </w:r>
      <w:r>
        <w:rPr>
          <w:rFonts w:eastAsia="Calibri"/>
          <w:bCs/>
          <w:sz w:val="28"/>
          <w:szCs w:val="28"/>
          <w:lang w:eastAsia="en-US"/>
        </w:rPr>
        <w:t xml:space="preserve">по электронной почте по адресу: </w:t>
      </w:r>
      <w:r>
        <w:rPr>
          <w:rFonts w:eastAsia="Calibri"/>
          <w:bCs/>
          <w:sz w:val="28"/>
          <w:szCs w:val="28"/>
          <w:lang w:val="en-US" w:eastAsia="en-US"/>
        </w:rPr>
        <w:t xml:space="preserve">dga</w:t>
      </w:r>
      <w:r>
        <w:rPr>
          <w:rFonts w:eastAsia="Calibri"/>
          <w:bCs/>
          <w:sz w:val="28"/>
          <w:szCs w:val="28"/>
          <w:lang w:eastAsia="en-US"/>
        </w:rPr>
        <w:t xml:space="preserve">@</w:t>
      </w:r>
      <w:r>
        <w:rPr>
          <w:sz w:val="28"/>
          <w:szCs w:val="28"/>
          <w:lang w:eastAsia="en-US"/>
        </w:rPr>
        <w:t xml:space="preserve">perm.permkrai.</w:t>
      </w:r>
      <w:r>
        <w:rPr>
          <w:sz w:val="28"/>
          <w:szCs w:val="28"/>
          <w:lang w:val="en-US" w:eastAsia="en-US"/>
        </w:rPr>
        <w:t xml:space="preserve">ru</w:t>
      </w:r>
      <w:r>
        <w:rPr>
          <w:sz w:val="28"/>
          <w:szCs w:val="28"/>
        </w:rPr>
        <w:t xml:space="preserve">;</w:t>
      </w:r>
      <w:r>
        <w:rPr>
          <w:rFonts w:eastAsia="Calibri"/>
          <w:bCs/>
          <w:sz w:val="28"/>
          <w:szCs w:val="28"/>
        </w:rPr>
      </w:r>
      <w:r>
        <w:rPr>
          <w:rFonts w:eastAsia="Calibri"/>
          <w:bCs/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rFonts w:eastAsia="Calibri"/>
          <w:bCs/>
          <w:sz w:val="28"/>
          <w:szCs w:val="28"/>
          <w:lang w:eastAsia="en-US"/>
        </w:rPr>
        <w:t xml:space="preserve">6.2.3. </w:t>
      </w:r>
      <w:r>
        <w:rPr>
          <w:sz w:val="28"/>
          <w:szCs w:val="28"/>
        </w:rPr>
        <w:t xml:space="preserve">в </w:t>
      </w:r>
      <w:r>
        <w:rPr>
          <w:rFonts w:eastAsia="Calibri"/>
          <w:bCs/>
          <w:sz w:val="28"/>
          <w:szCs w:val="28"/>
          <w:lang w:eastAsia="en-US"/>
        </w:rPr>
        <w:t xml:space="preserve">письменной форме путем личного обращения и (или) по почте </w:t>
      </w:r>
      <w:r>
        <w:rPr>
          <w:rFonts w:eastAsia="Calibri"/>
          <w:bCs/>
          <w:sz w:val="28"/>
          <w:szCs w:val="28"/>
          <w:lang w:eastAsia="en-US"/>
        </w:rPr>
        <w:br/>
      </w:r>
      <w:r>
        <w:rPr>
          <w:sz w:val="28"/>
          <w:szCs w:val="28"/>
        </w:rPr>
        <w:t xml:space="preserve">по адресу: 614015, г. Пермь, ул. Сибирская, 15, каб. 003.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Настоящее постановление вступает в силу со дня официального опубликования в печатном средстве массовой информации «Официальный бюллетень органов местного</w:t>
      </w:r>
      <w:r>
        <w:rPr>
          <w:sz w:val="28"/>
          <w:szCs w:val="28"/>
        </w:rPr>
        <w:t xml:space="preserve"> самоуправления муниципального образования город Пермь».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Управлению по общим вопросам администрации города Перми обеспечить обнародование настоящего постановления посредством официального опубликования в печатном средстве массовой информации «Официальны</w:t>
      </w:r>
      <w:r>
        <w:rPr>
          <w:sz w:val="28"/>
          <w:szCs w:val="28"/>
        </w:rPr>
        <w:t xml:space="preserve">й бюллетень органов местного самоуправления муниципального образования город Пермь».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Информационно-аналитическому управлению администрации города Перми обеспечить обнародование настоящего постановления </w:t>
      </w:r>
      <w:r>
        <w:rPr>
          <w:sz w:val="28"/>
          <w:szCs w:val="28"/>
        </w:rPr>
        <w:t xml:space="preserve">посредством официального опубликования в сетевом издании «Официальный сайт муниципального образования город Пермь </w:t>
      </w:r>
      <w:r>
        <w:rPr>
          <w:sz w:val="28"/>
          <w:szCs w:val="28"/>
          <w:lang w:val="en-US"/>
        </w:rPr>
        <w:t xml:space="preserve">www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  <w:t xml:space="preserve">gorodperm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  <w:t xml:space="preserve">ru</w:t>
      </w:r>
      <w:r>
        <w:rPr>
          <w:sz w:val="28"/>
          <w:szCs w:val="28"/>
        </w:rPr>
        <w:t xml:space="preserve">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 Контроль за исполнением настоящего постановления возложить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на заместителя главы администрации города Перми Лебедеву А.В.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right"/>
        <w:spacing w:line="240" w:lineRule="exact"/>
        <w:rPr>
          <w:sz w:val="28"/>
          <w:szCs w:val="28"/>
          <w:highlight w:val="none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Э.О. Соснин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sectPr>
      <w:headerReference w:type="default" r:id="rId8"/>
      <w:headerReference w:type="even" r:id="rId9"/>
      <w:footerReference w:type="default" r:id="rId10"/>
      <w:footnotePr/>
      <w:endnotePr/>
      <w:type w:val="nextPage"/>
      <w:pgSz w:w="11900" w:h="16820" w:orient="portrait"/>
      <w:pgMar w:top="1134" w:right="567" w:bottom="1134" w:left="1418" w:header="363" w:footer="720" w:gutter="0"/>
      <w:cols w:num="1" w:sep="0" w:space="6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Segoe UI">
    <w:panose1 w:val="020B0503020204020204"/>
  </w:font>
  <w:font w:name="Courier New">
    <w:panose1 w:val="02070309020205020404"/>
  </w:font>
  <w:font w:name="Arial">
    <w:panose1 w:val="020B060402020202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2"/>
      <w:jc w:val="center"/>
      <w:rPr>
        <w:sz w:val="28"/>
        <w:szCs w:val="28"/>
      </w:rPr>
    </w:pPr>
    <w:fldSimple w:instr="PAGE \* MERGEFORMAT">
      <w:r>
        <w:rPr>
          <w:sz w:val="28"/>
          <w:szCs w:val="28"/>
        </w:rPr>
        <w:t xml:space="preserve">1</w:t>
      </w:r>
    </w:fldSimple>
    <w:r>
      <w:rPr>
        <w:sz w:val="28"/>
        <w:szCs w:val="28"/>
      </w:rPr>
    </w:r>
    <w:r>
      <w:rPr>
        <w:sz w:val="28"/>
        <w:szCs w:val="28"/>
      </w:rPr>
    </w:r>
    <w:r>
      <w:rPr>
        <w:sz w:val="28"/>
        <w:szCs w:val="28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2"/>
      <w:rPr>
        <w:rStyle w:val="881"/>
      </w:rPr>
      <w:framePr w:wrap="around" w:vAnchor="text" w:hAnchor="margin" w:xAlign="center" w:y="1"/>
    </w:pPr>
    <w:r>
      <w:rPr>
        <w:rStyle w:val="881"/>
      </w:rPr>
      <w:fldChar w:fldCharType="begin"/>
    </w:r>
    <w:r>
      <w:rPr>
        <w:rStyle w:val="881"/>
      </w:rPr>
      <w:instrText xml:space="preserve">PAGE  </w:instrText>
    </w:r>
    <w:r>
      <w:rPr>
        <w:rStyle w:val="881"/>
      </w:rPr>
      <w:fldChar w:fldCharType="end"/>
    </w:r>
    <w:r>
      <w:rPr>
        <w:rStyle w:val="881"/>
      </w:rPr>
    </w:r>
    <w:r>
      <w:rPr>
        <w:rStyle w:val="881"/>
      </w:rPr>
    </w:r>
  </w:p>
  <w:p>
    <w:pPr>
      <w:pStyle w:val="882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98">
    <w:name w:val="Heading 1 Char"/>
    <w:basedOn w:val="874"/>
    <w:link w:val="872"/>
    <w:uiPriority w:val="9"/>
    <w:rPr>
      <w:rFonts w:ascii="Arial" w:hAnsi="Arial" w:eastAsia="Arial" w:cs="Arial"/>
      <w:sz w:val="40"/>
      <w:szCs w:val="40"/>
    </w:rPr>
  </w:style>
  <w:style w:type="character" w:styleId="699">
    <w:name w:val="Heading 2 Char"/>
    <w:basedOn w:val="874"/>
    <w:link w:val="873"/>
    <w:uiPriority w:val="9"/>
    <w:rPr>
      <w:rFonts w:ascii="Arial" w:hAnsi="Arial" w:eastAsia="Arial" w:cs="Arial"/>
      <w:sz w:val="34"/>
    </w:rPr>
  </w:style>
  <w:style w:type="paragraph" w:styleId="700">
    <w:name w:val="Heading 3"/>
    <w:basedOn w:val="871"/>
    <w:next w:val="871"/>
    <w:link w:val="70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1">
    <w:name w:val="Heading 3 Char"/>
    <w:basedOn w:val="874"/>
    <w:link w:val="700"/>
    <w:uiPriority w:val="9"/>
    <w:rPr>
      <w:rFonts w:ascii="Arial" w:hAnsi="Arial" w:eastAsia="Arial" w:cs="Arial"/>
      <w:sz w:val="30"/>
      <w:szCs w:val="30"/>
    </w:rPr>
  </w:style>
  <w:style w:type="paragraph" w:styleId="702">
    <w:name w:val="Heading 4"/>
    <w:basedOn w:val="871"/>
    <w:next w:val="871"/>
    <w:link w:val="70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3">
    <w:name w:val="Heading 4 Char"/>
    <w:basedOn w:val="874"/>
    <w:link w:val="702"/>
    <w:uiPriority w:val="9"/>
    <w:rPr>
      <w:rFonts w:ascii="Arial" w:hAnsi="Arial" w:eastAsia="Arial" w:cs="Arial"/>
      <w:b/>
      <w:bCs/>
      <w:sz w:val="26"/>
      <w:szCs w:val="26"/>
    </w:rPr>
  </w:style>
  <w:style w:type="paragraph" w:styleId="704">
    <w:name w:val="Heading 5"/>
    <w:basedOn w:val="871"/>
    <w:next w:val="871"/>
    <w:link w:val="70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5">
    <w:name w:val="Heading 5 Char"/>
    <w:basedOn w:val="874"/>
    <w:link w:val="704"/>
    <w:uiPriority w:val="9"/>
    <w:rPr>
      <w:rFonts w:ascii="Arial" w:hAnsi="Arial" w:eastAsia="Arial" w:cs="Arial"/>
      <w:b/>
      <w:bCs/>
      <w:sz w:val="24"/>
      <w:szCs w:val="24"/>
    </w:rPr>
  </w:style>
  <w:style w:type="paragraph" w:styleId="706">
    <w:name w:val="Heading 6"/>
    <w:basedOn w:val="871"/>
    <w:next w:val="871"/>
    <w:link w:val="70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7">
    <w:name w:val="Heading 6 Char"/>
    <w:basedOn w:val="874"/>
    <w:link w:val="706"/>
    <w:uiPriority w:val="9"/>
    <w:rPr>
      <w:rFonts w:ascii="Arial" w:hAnsi="Arial" w:eastAsia="Arial" w:cs="Arial"/>
      <w:b/>
      <w:bCs/>
      <w:sz w:val="22"/>
      <w:szCs w:val="22"/>
    </w:rPr>
  </w:style>
  <w:style w:type="paragraph" w:styleId="708">
    <w:name w:val="Heading 7"/>
    <w:basedOn w:val="871"/>
    <w:next w:val="871"/>
    <w:link w:val="70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9">
    <w:name w:val="Heading 7 Char"/>
    <w:basedOn w:val="874"/>
    <w:link w:val="70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0">
    <w:name w:val="Heading 8"/>
    <w:basedOn w:val="871"/>
    <w:next w:val="871"/>
    <w:link w:val="71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1">
    <w:name w:val="Heading 8 Char"/>
    <w:basedOn w:val="874"/>
    <w:link w:val="710"/>
    <w:uiPriority w:val="9"/>
    <w:rPr>
      <w:rFonts w:ascii="Arial" w:hAnsi="Arial" w:eastAsia="Arial" w:cs="Arial"/>
      <w:i/>
      <w:iCs/>
      <w:sz w:val="22"/>
      <w:szCs w:val="22"/>
    </w:rPr>
  </w:style>
  <w:style w:type="paragraph" w:styleId="712">
    <w:name w:val="Heading 9"/>
    <w:basedOn w:val="871"/>
    <w:next w:val="871"/>
    <w:link w:val="71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3">
    <w:name w:val="Heading 9 Char"/>
    <w:basedOn w:val="874"/>
    <w:link w:val="712"/>
    <w:uiPriority w:val="9"/>
    <w:rPr>
      <w:rFonts w:ascii="Arial" w:hAnsi="Arial" w:eastAsia="Arial" w:cs="Arial"/>
      <w:i/>
      <w:iCs/>
      <w:sz w:val="21"/>
      <w:szCs w:val="21"/>
    </w:rPr>
  </w:style>
  <w:style w:type="paragraph" w:styleId="714">
    <w:name w:val="List Paragraph"/>
    <w:basedOn w:val="871"/>
    <w:uiPriority w:val="34"/>
    <w:qFormat/>
    <w:pPr>
      <w:contextualSpacing/>
      <w:ind w:left="720"/>
    </w:pPr>
  </w:style>
  <w:style w:type="paragraph" w:styleId="715">
    <w:name w:val="No Spacing"/>
    <w:uiPriority w:val="1"/>
    <w:qFormat/>
    <w:pPr>
      <w:spacing w:before="0" w:after="0" w:line="240" w:lineRule="auto"/>
    </w:pPr>
  </w:style>
  <w:style w:type="paragraph" w:styleId="716">
    <w:name w:val="Title"/>
    <w:basedOn w:val="871"/>
    <w:next w:val="871"/>
    <w:link w:val="71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7">
    <w:name w:val="Title Char"/>
    <w:basedOn w:val="874"/>
    <w:link w:val="716"/>
    <w:uiPriority w:val="10"/>
    <w:rPr>
      <w:sz w:val="48"/>
      <w:szCs w:val="48"/>
    </w:rPr>
  </w:style>
  <w:style w:type="paragraph" w:styleId="718">
    <w:name w:val="Subtitle"/>
    <w:basedOn w:val="871"/>
    <w:next w:val="871"/>
    <w:link w:val="719"/>
    <w:uiPriority w:val="11"/>
    <w:qFormat/>
    <w:pPr>
      <w:spacing w:before="200" w:after="200"/>
    </w:pPr>
    <w:rPr>
      <w:sz w:val="24"/>
      <w:szCs w:val="24"/>
    </w:rPr>
  </w:style>
  <w:style w:type="character" w:styleId="719">
    <w:name w:val="Subtitle Char"/>
    <w:basedOn w:val="874"/>
    <w:link w:val="718"/>
    <w:uiPriority w:val="11"/>
    <w:rPr>
      <w:sz w:val="24"/>
      <w:szCs w:val="24"/>
    </w:rPr>
  </w:style>
  <w:style w:type="paragraph" w:styleId="720">
    <w:name w:val="Quote"/>
    <w:basedOn w:val="871"/>
    <w:next w:val="871"/>
    <w:link w:val="721"/>
    <w:uiPriority w:val="29"/>
    <w:qFormat/>
    <w:pPr>
      <w:ind w:left="720" w:right="720"/>
    </w:pPr>
    <w:rPr>
      <w:i/>
    </w:rPr>
  </w:style>
  <w:style w:type="character" w:styleId="721">
    <w:name w:val="Quote Char"/>
    <w:link w:val="720"/>
    <w:uiPriority w:val="29"/>
    <w:rPr>
      <w:i/>
    </w:rPr>
  </w:style>
  <w:style w:type="paragraph" w:styleId="722">
    <w:name w:val="Intense Quote"/>
    <w:basedOn w:val="871"/>
    <w:next w:val="871"/>
    <w:link w:val="72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3">
    <w:name w:val="Intense Quote Char"/>
    <w:link w:val="722"/>
    <w:uiPriority w:val="30"/>
    <w:rPr>
      <w:i/>
    </w:rPr>
  </w:style>
  <w:style w:type="character" w:styleId="724">
    <w:name w:val="Header Char"/>
    <w:basedOn w:val="874"/>
    <w:link w:val="882"/>
    <w:uiPriority w:val="99"/>
  </w:style>
  <w:style w:type="character" w:styleId="725">
    <w:name w:val="Footer Char"/>
    <w:basedOn w:val="874"/>
    <w:link w:val="880"/>
    <w:uiPriority w:val="99"/>
  </w:style>
  <w:style w:type="character" w:styleId="726">
    <w:name w:val="Caption Char"/>
    <w:basedOn w:val="877"/>
    <w:link w:val="880"/>
    <w:uiPriority w:val="99"/>
  </w:style>
  <w:style w:type="table" w:styleId="727">
    <w:name w:val="Table Grid"/>
    <w:basedOn w:val="875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8">
    <w:name w:val="Table Grid Light"/>
    <w:basedOn w:val="87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9">
    <w:name w:val="Plain Table 1"/>
    <w:basedOn w:val="87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0">
    <w:name w:val="Plain Table 2"/>
    <w:basedOn w:val="87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1">
    <w:name w:val="Plain Table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2">
    <w:name w:val="Plain Table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Plain Table 5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4">
    <w:name w:val="Grid Table 1 Light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Grid Table 1 Light - Accent 1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1 Light - Accent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5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6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2 - Accent 1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2 - Accent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5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6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3 - Accent 1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 - Accent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5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6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4"/>
    <w:basedOn w:val="87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6">
    <w:name w:val="Grid Table 4 - Accent 1"/>
    <w:basedOn w:val="87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7">
    <w:name w:val="Grid Table 4 - Accent 2"/>
    <w:basedOn w:val="87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8">
    <w:name w:val="Grid Table 4 - Accent 3"/>
    <w:basedOn w:val="87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9">
    <w:name w:val="Grid Table 4 - Accent 4"/>
    <w:basedOn w:val="87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0">
    <w:name w:val="Grid Table 4 - Accent 5"/>
    <w:basedOn w:val="87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1">
    <w:name w:val="Grid Table 4 - Accent 6"/>
    <w:basedOn w:val="87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2">
    <w:name w:val="Grid Table 5 Dark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3">
    <w:name w:val="Grid Table 5 Dark- Accent 1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64">
    <w:name w:val="Grid Table 5 Dark - Accent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65">
    <w:name w:val="Grid Table 5 Dark - Accent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66">
    <w:name w:val="Grid Table 5 Dark- Accent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5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68">
    <w:name w:val="Grid Table 5 Dark - Accent 6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69">
    <w:name w:val="Grid Table 6 Colorful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0">
    <w:name w:val="Grid Table 6 Colorful - Accent 1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1">
    <w:name w:val="Grid Table 6 Colorful - Accent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2">
    <w:name w:val="Grid Table 6 Colorful - Accent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3">
    <w:name w:val="Grid Table 6 Colorful - Accent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4">
    <w:name w:val="Grid Table 6 Colorful - Accent 5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5">
    <w:name w:val="Grid Table 6 Colorful - Accent 6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6">
    <w:name w:val="Grid Table 7 Colorful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7 Colorful - Accent 1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7 Colorful - Accent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5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6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1 Light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 - Accent 1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 - Accent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5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6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1">
    <w:name w:val="List Table 2 - Accent 1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2">
    <w:name w:val="List Table 2 - Accent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3">
    <w:name w:val="List Table 2 - Accent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4">
    <w:name w:val="List Table 2 - Accent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5">
    <w:name w:val="List Table 2 - Accent 5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6">
    <w:name w:val="List Table 2 - Accent 6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7">
    <w:name w:val="List Table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3 - Accent 1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3 - Accent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5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6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 - Accent 1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 - Accent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5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6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5 Dark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2">
    <w:name w:val="List Table 5 Dark - Accent 1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3">
    <w:name w:val="List Table 5 Dark - Accent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5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6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6 Colorful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9">
    <w:name w:val="List Table 6 Colorful - Accent 1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0">
    <w:name w:val="List Table 6 Colorful - Accent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1">
    <w:name w:val="List Table 6 Colorful - Accent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2">
    <w:name w:val="List Table 6 Colorful - Accent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3">
    <w:name w:val="List Table 6 Colorful - Accent 5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4">
    <w:name w:val="List Table 6 Colorful - Accent 6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5">
    <w:name w:val="List Table 7 Colorful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6">
    <w:name w:val="List Table 7 Colorful - Accent 1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27">
    <w:name w:val="List Table 7 Colorful - Accent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28">
    <w:name w:val="List Table 7 Colorful - Accent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29">
    <w:name w:val="List Table 7 Colorful - Accent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30">
    <w:name w:val="List Table 7 Colorful - Accent 5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31">
    <w:name w:val="List Table 7 Colorful - Accent 6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32">
    <w:name w:val="Lined - Accent"/>
    <w:basedOn w:val="8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3">
    <w:name w:val="Lined - Accent 1"/>
    <w:basedOn w:val="8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34">
    <w:name w:val="Lined - Accent 2"/>
    <w:basedOn w:val="8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35">
    <w:name w:val="Lined - Accent 3"/>
    <w:basedOn w:val="8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36">
    <w:name w:val="Lined - Accent 4"/>
    <w:basedOn w:val="8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37">
    <w:name w:val="Lined - Accent 5"/>
    <w:basedOn w:val="8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38">
    <w:name w:val="Lined - Accent 6"/>
    <w:basedOn w:val="8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39">
    <w:name w:val="Bordered &amp; Lined - Accent"/>
    <w:basedOn w:val="8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0">
    <w:name w:val="Bordered &amp; Lined - Accent 1"/>
    <w:basedOn w:val="8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41">
    <w:name w:val="Bordered &amp; Lined - Accent 2"/>
    <w:basedOn w:val="8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42">
    <w:name w:val="Bordered &amp; Lined - Accent 3"/>
    <w:basedOn w:val="8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43">
    <w:name w:val="Bordered &amp; Lined - Accent 4"/>
    <w:basedOn w:val="8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44">
    <w:name w:val="Bordered &amp; Lined - Accent 5"/>
    <w:basedOn w:val="8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45">
    <w:name w:val="Bordered &amp; Lined - Accent 6"/>
    <w:basedOn w:val="8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46">
    <w:name w:val="Bordered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7">
    <w:name w:val="Bordered - Accent 1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8">
    <w:name w:val="Bordered - Accent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9">
    <w:name w:val="Bordered - Accent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0">
    <w:name w:val="Bordered - Accent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1">
    <w:name w:val="Bordered - Accent 5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2">
    <w:name w:val="Bordered - Accent 6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3">
    <w:name w:val="Hyperlink"/>
    <w:uiPriority w:val="99"/>
    <w:unhideWhenUsed/>
    <w:rPr>
      <w:color w:val="0000ff" w:themeColor="hyperlink"/>
      <w:u w:val="single"/>
    </w:rPr>
  </w:style>
  <w:style w:type="paragraph" w:styleId="854">
    <w:name w:val="footnote text"/>
    <w:basedOn w:val="871"/>
    <w:link w:val="855"/>
    <w:uiPriority w:val="99"/>
    <w:semiHidden/>
    <w:unhideWhenUsed/>
    <w:pPr>
      <w:spacing w:after="40" w:line="240" w:lineRule="auto"/>
    </w:pPr>
    <w:rPr>
      <w:sz w:val="18"/>
    </w:rPr>
  </w:style>
  <w:style w:type="character" w:styleId="855">
    <w:name w:val="Footnote Text Char"/>
    <w:link w:val="854"/>
    <w:uiPriority w:val="99"/>
    <w:rPr>
      <w:sz w:val="18"/>
    </w:rPr>
  </w:style>
  <w:style w:type="character" w:styleId="856">
    <w:name w:val="footnote reference"/>
    <w:basedOn w:val="874"/>
    <w:uiPriority w:val="99"/>
    <w:unhideWhenUsed/>
    <w:rPr>
      <w:vertAlign w:val="superscript"/>
    </w:rPr>
  </w:style>
  <w:style w:type="paragraph" w:styleId="857">
    <w:name w:val="endnote text"/>
    <w:basedOn w:val="871"/>
    <w:link w:val="858"/>
    <w:uiPriority w:val="99"/>
    <w:semiHidden/>
    <w:unhideWhenUsed/>
    <w:pPr>
      <w:spacing w:after="0" w:line="240" w:lineRule="auto"/>
    </w:pPr>
    <w:rPr>
      <w:sz w:val="20"/>
    </w:rPr>
  </w:style>
  <w:style w:type="character" w:styleId="858">
    <w:name w:val="Endnote Text Char"/>
    <w:link w:val="857"/>
    <w:uiPriority w:val="99"/>
    <w:rPr>
      <w:sz w:val="20"/>
    </w:rPr>
  </w:style>
  <w:style w:type="character" w:styleId="859">
    <w:name w:val="endnote reference"/>
    <w:basedOn w:val="874"/>
    <w:uiPriority w:val="99"/>
    <w:semiHidden/>
    <w:unhideWhenUsed/>
    <w:rPr>
      <w:vertAlign w:val="superscript"/>
    </w:rPr>
  </w:style>
  <w:style w:type="paragraph" w:styleId="860">
    <w:name w:val="toc 1"/>
    <w:basedOn w:val="871"/>
    <w:next w:val="871"/>
    <w:uiPriority w:val="39"/>
    <w:unhideWhenUsed/>
    <w:pPr>
      <w:ind w:left="0" w:right="0" w:firstLine="0"/>
      <w:spacing w:after="57"/>
    </w:pPr>
  </w:style>
  <w:style w:type="paragraph" w:styleId="861">
    <w:name w:val="toc 2"/>
    <w:basedOn w:val="871"/>
    <w:next w:val="871"/>
    <w:uiPriority w:val="39"/>
    <w:unhideWhenUsed/>
    <w:pPr>
      <w:ind w:left="283" w:right="0" w:firstLine="0"/>
      <w:spacing w:after="57"/>
    </w:pPr>
  </w:style>
  <w:style w:type="paragraph" w:styleId="862">
    <w:name w:val="toc 3"/>
    <w:basedOn w:val="871"/>
    <w:next w:val="871"/>
    <w:uiPriority w:val="39"/>
    <w:unhideWhenUsed/>
    <w:pPr>
      <w:ind w:left="567" w:right="0" w:firstLine="0"/>
      <w:spacing w:after="57"/>
    </w:pPr>
  </w:style>
  <w:style w:type="paragraph" w:styleId="863">
    <w:name w:val="toc 4"/>
    <w:basedOn w:val="871"/>
    <w:next w:val="871"/>
    <w:uiPriority w:val="39"/>
    <w:unhideWhenUsed/>
    <w:pPr>
      <w:ind w:left="850" w:right="0" w:firstLine="0"/>
      <w:spacing w:after="57"/>
    </w:pPr>
  </w:style>
  <w:style w:type="paragraph" w:styleId="864">
    <w:name w:val="toc 5"/>
    <w:basedOn w:val="871"/>
    <w:next w:val="871"/>
    <w:uiPriority w:val="39"/>
    <w:unhideWhenUsed/>
    <w:pPr>
      <w:ind w:left="1134" w:right="0" w:firstLine="0"/>
      <w:spacing w:after="57"/>
    </w:pPr>
  </w:style>
  <w:style w:type="paragraph" w:styleId="865">
    <w:name w:val="toc 6"/>
    <w:basedOn w:val="871"/>
    <w:next w:val="871"/>
    <w:uiPriority w:val="39"/>
    <w:unhideWhenUsed/>
    <w:pPr>
      <w:ind w:left="1417" w:right="0" w:firstLine="0"/>
      <w:spacing w:after="57"/>
    </w:pPr>
  </w:style>
  <w:style w:type="paragraph" w:styleId="866">
    <w:name w:val="toc 7"/>
    <w:basedOn w:val="871"/>
    <w:next w:val="871"/>
    <w:uiPriority w:val="39"/>
    <w:unhideWhenUsed/>
    <w:pPr>
      <w:ind w:left="1701" w:right="0" w:firstLine="0"/>
      <w:spacing w:after="57"/>
    </w:pPr>
  </w:style>
  <w:style w:type="paragraph" w:styleId="867">
    <w:name w:val="toc 8"/>
    <w:basedOn w:val="871"/>
    <w:next w:val="871"/>
    <w:uiPriority w:val="39"/>
    <w:unhideWhenUsed/>
    <w:pPr>
      <w:ind w:left="1984" w:right="0" w:firstLine="0"/>
      <w:spacing w:after="57"/>
    </w:pPr>
  </w:style>
  <w:style w:type="paragraph" w:styleId="868">
    <w:name w:val="toc 9"/>
    <w:basedOn w:val="871"/>
    <w:next w:val="871"/>
    <w:uiPriority w:val="39"/>
    <w:unhideWhenUsed/>
    <w:pPr>
      <w:ind w:left="2268" w:right="0" w:firstLine="0"/>
      <w:spacing w:after="57"/>
    </w:pPr>
  </w:style>
  <w:style w:type="paragraph" w:styleId="869">
    <w:name w:val="TOC Heading"/>
    <w:uiPriority w:val="39"/>
    <w:unhideWhenUsed/>
  </w:style>
  <w:style w:type="paragraph" w:styleId="870">
    <w:name w:val="table of figures"/>
    <w:basedOn w:val="871"/>
    <w:next w:val="871"/>
    <w:uiPriority w:val="99"/>
    <w:unhideWhenUsed/>
    <w:pPr>
      <w:spacing w:after="0" w:afterAutospacing="0"/>
    </w:pPr>
  </w:style>
  <w:style w:type="paragraph" w:styleId="871" w:default="1">
    <w:name w:val="Normal"/>
    <w:qFormat/>
  </w:style>
  <w:style w:type="paragraph" w:styleId="872">
    <w:name w:val="Heading 1"/>
    <w:basedOn w:val="871"/>
    <w:next w:val="871"/>
    <w:qFormat/>
    <w:pPr>
      <w:ind w:right="-1" w:firstLine="709"/>
      <w:jc w:val="both"/>
      <w:keepNext/>
      <w:outlineLvl w:val="0"/>
    </w:pPr>
    <w:rPr>
      <w:sz w:val="24"/>
    </w:rPr>
  </w:style>
  <w:style w:type="paragraph" w:styleId="873">
    <w:name w:val="Heading 2"/>
    <w:basedOn w:val="871"/>
    <w:next w:val="871"/>
    <w:qFormat/>
    <w:pPr>
      <w:ind w:right="-1"/>
      <w:jc w:val="both"/>
      <w:keepNext/>
      <w:outlineLvl w:val="1"/>
    </w:pPr>
    <w:rPr>
      <w:sz w:val="24"/>
    </w:rPr>
  </w:style>
  <w:style w:type="character" w:styleId="874" w:default="1">
    <w:name w:val="Default Paragraph Font"/>
    <w:semiHidden/>
  </w:style>
  <w:style w:type="table" w:styleId="875" w:default="1">
    <w:name w:val="Normal Table"/>
    <w:semiHidden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76" w:default="1">
    <w:name w:val="No List"/>
    <w:semiHidden/>
  </w:style>
  <w:style w:type="paragraph" w:styleId="877">
    <w:name w:val="Caption"/>
    <w:basedOn w:val="871"/>
    <w:next w:val="871"/>
    <w:link w:val="726"/>
    <w:qFormat/>
    <w:pPr>
      <w:jc w:val="center"/>
      <w:spacing w:line="360" w:lineRule="exact"/>
      <w:widowControl w:val="off"/>
    </w:pPr>
    <w:rPr>
      <w:b/>
      <w:sz w:val="32"/>
    </w:rPr>
  </w:style>
  <w:style w:type="paragraph" w:styleId="878">
    <w:name w:val="Body Text"/>
    <w:basedOn w:val="871"/>
    <w:pPr>
      <w:ind w:right="3117"/>
    </w:pPr>
    <w:rPr>
      <w:rFonts w:ascii="Courier New" w:hAnsi="Courier New"/>
      <w:sz w:val="26"/>
    </w:rPr>
  </w:style>
  <w:style w:type="paragraph" w:styleId="879">
    <w:name w:val="Body Text Indent"/>
    <w:basedOn w:val="871"/>
    <w:pPr>
      <w:ind w:right="-1"/>
      <w:jc w:val="both"/>
    </w:pPr>
    <w:rPr>
      <w:sz w:val="26"/>
    </w:rPr>
  </w:style>
  <w:style w:type="paragraph" w:styleId="880">
    <w:name w:val="Footer"/>
    <w:basedOn w:val="871"/>
    <w:pPr>
      <w:tabs>
        <w:tab w:val="center" w:pos="4153" w:leader="none"/>
        <w:tab w:val="right" w:pos="8306" w:leader="none"/>
      </w:tabs>
    </w:pPr>
  </w:style>
  <w:style w:type="character" w:styleId="881">
    <w:name w:val="page number"/>
    <w:basedOn w:val="874"/>
  </w:style>
  <w:style w:type="paragraph" w:styleId="882">
    <w:name w:val="Header"/>
    <w:basedOn w:val="871"/>
    <w:pPr>
      <w:tabs>
        <w:tab w:val="center" w:pos="4153" w:leader="none"/>
        <w:tab w:val="right" w:pos="8306" w:leader="none"/>
      </w:tabs>
    </w:pPr>
  </w:style>
  <w:style w:type="paragraph" w:styleId="883">
    <w:name w:val="Balloon Text"/>
    <w:basedOn w:val="871"/>
    <w:link w:val="884"/>
    <w:rPr>
      <w:rFonts w:ascii="Segoe UI" w:hAnsi="Segoe UI" w:cs="Segoe UI"/>
      <w:sz w:val="18"/>
      <w:szCs w:val="18"/>
    </w:rPr>
  </w:style>
  <w:style w:type="character" w:styleId="884" w:customStyle="1">
    <w:name w:val="Текст выноски Знак"/>
    <w:link w:val="883"/>
    <w:rPr>
      <w:rFonts w:ascii="Segoe UI" w:hAnsi="Segoe UI" w:cs="Segoe UI"/>
      <w:sz w:val="18"/>
      <w:szCs w:val="18"/>
    </w:rPr>
  </w:style>
  <w:style w:type="paragraph" w:styleId="885" w:customStyle="1">
    <w:name w:val="Основной текст"/>
    <w:basedOn w:val="851"/>
    <w:next w:val="867"/>
    <w:link w:val="868"/>
    <w:uiPriority w:val="1"/>
    <w:qFormat/>
    <w:pPr>
      <w:contextualSpacing w:val="0"/>
      <w:ind w:left="118" w:right="0" w:firstLine="0"/>
      <w:jc w:val="both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8"/>
      <w:highlight w:val="none"/>
      <w:u w:val="none"/>
      <w:vertAlign w:val="baseline"/>
      <w:rtl w:val="0"/>
      <w:cs w:val="0"/>
      <w:lang w:val="ru-RU" w:eastAsia="en-US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footer" Target="footer1.xml" /><Relationship Id="rId11" Type="http://schemas.openxmlformats.org/officeDocument/2006/relationships/image" Target="media/image1.png"/><Relationship Id="rId12" Type="http://schemas.openxmlformats.org/officeDocument/2006/relationships/hyperlink" Target="consultantplus://offline/ref=3333E7EB7C2DE1014DC29D0682D760D7B6E7C555BF85499918DF45BC5E7A33737026127397845304283D1EC0891F912C0BlEF4G" TargetMode="External"/><Relationship Id="rId13" Type="http://schemas.openxmlformats.org/officeDocument/2006/relationships/hyperlink" Target="http://www.gorodperm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>Администрация г. Перми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Сергей</dc:creator>
  <cp:keywords/>
  <cp:lastModifiedBy>shukhardina-ev</cp:lastModifiedBy>
  <cp:revision>41</cp:revision>
  <dcterms:created xsi:type="dcterms:W3CDTF">2024-10-25T06:16:00Z</dcterms:created>
  <dcterms:modified xsi:type="dcterms:W3CDTF">2026-05-08T04:33:02Z</dcterms:modified>
</cp:coreProperties>
</file>