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274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274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13.05.2026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13.05.2026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pStyle w:val="920"/>
        <w:spacing w:line="240" w:lineRule="exact"/>
        <w:rPr>
          <w:b/>
          <w:bCs/>
          <w:spacing w:val="-2"/>
          <w14:ligatures w14:val="none"/>
        </w:rPr>
      </w:pPr>
      <w:r>
        <w:rPr>
          <w:b/>
          <w:bCs/>
          <w:spacing w:val="-2"/>
        </w:rPr>
        <w:t xml:space="preserve">О внесении изменений в</w:t>
      </w:r>
      <w:r>
        <w:rPr>
          <w:b/>
          <w:bCs/>
          <w:spacing w:val="-2"/>
          <w:lang w:eastAsia="en-US"/>
        </w:rPr>
        <w:t xml:space="preserve"> Порядок </w:t>
      </w:r>
      <w:r>
        <w:rPr>
          <w:b/>
          <w:bCs/>
          <w:spacing w:val="-2"/>
          <w14:ligatures w14:val="none"/>
        </w:rPr>
      </w:r>
      <w:r>
        <w:rPr>
          <w:b/>
          <w:bCs/>
          <w:spacing w:val="-2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:lang w:eastAsia="en-US"/>
          <w14:ligatures w14:val="none"/>
        </w:rPr>
      </w:pPr>
      <w:r>
        <w:rPr>
          <w:b/>
          <w:bCs/>
          <w:spacing w:val="-2"/>
        </w:rPr>
      </w:r>
      <w:r>
        <w:rPr>
          <w:b/>
          <w:bCs/>
          <w:spacing w:val="-2"/>
          <w:lang w:eastAsia="en-US"/>
        </w:rPr>
        <w:t xml:space="preserve">о</w:t>
      </w:r>
      <w:r>
        <w:rPr>
          <w:b/>
          <w:bCs/>
          <w:spacing w:val="-2"/>
          <w:lang w:eastAsia="en-US"/>
        </w:rPr>
        <w:t xml:space="preserve">пределения объема и условий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  <w14:ligatures w14:val="none"/>
        </w:rPr>
      </w:r>
      <w:r>
        <w:rPr>
          <w:b/>
          <w:bCs/>
          <w:spacing w:val="-2"/>
          <w:lang w:eastAsia="en-US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:lang w:eastAsia="en-US"/>
          <w14:ligatures w14:val="none"/>
        </w:rPr>
      </w:pPr>
      <w:r>
        <w:rPr>
          <w:b/>
          <w:bCs/>
          <w:spacing w:val="-2"/>
          <w:lang w:eastAsia="en-US"/>
        </w:rPr>
        <w:t xml:space="preserve">предоставления субсидий на иные цели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  <w14:ligatures w14:val="none"/>
        </w:rPr>
      </w:r>
      <w:r>
        <w:rPr>
          <w:b/>
          <w:bCs/>
          <w:spacing w:val="-2"/>
          <w:lang w:eastAsia="en-US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:lang w:eastAsia="en-US"/>
          <w14:ligatures w14:val="none"/>
        </w:rPr>
      </w:pPr>
      <w:r>
        <w:rPr>
          <w:b/>
          <w:bCs/>
          <w:spacing w:val="-2"/>
          <w:lang w:eastAsia="en-US"/>
        </w:rPr>
        <w:t xml:space="preserve">бюджетным и автономным учреждениям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  <w14:ligatures w14:val="none"/>
        </w:rPr>
      </w:r>
      <w:r>
        <w:rPr>
          <w:b/>
          <w:bCs/>
          <w:spacing w:val="-2"/>
          <w:lang w:eastAsia="en-US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:lang w:eastAsia="en-US"/>
          <w14:ligatures w14:val="none"/>
        </w:rPr>
      </w:pPr>
      <w:r>
        <w:rPr>
          <w:b/>
          <w:bCs/>
          <w:spacing w:val="-2"/>
          <w:lang w:eastAsia="en-US"/>
        </w:rPr>
        <w:t xml:space="preserve">на устройство муниципальных плоскостных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  <w14:ligatures w14:val="none"/>
        </w:rPr>
      </w:r>
      <w:r>
        <w:rPr>
          <w:b/>
          <w:bCs/>
          <w:spacing w:val="-2"/>
          <w:lang w:eastAsia="en-US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:lang w:eastAsia="en-US"/>
          <w14:ligatures w14:val="none"/>
        </w:rPr>
      </w:pPr>
      <w:r>
        <w:rPr>
          <w:b/>
          <w:bCs/>
          <w:spacing w:val="-2"/>
          <w:lang w:eastAsia="en-US"/>
        </w:rPr>
        <w:t xml:space="preserve">спортивных сооружений с оснащением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  <w14:ligatures w14:val="none"/>
        </w:rPr>
      </w:r>
      <w:r>
        <w:rPr>
          <w:b/>
          <w:bCs/>
          <w:spacing w:val="-2"/>
          <w:lang w:eastAsia="en-US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14:ligatures w14:val="none"/>
        </w:rPr>
      </w:pPr>
      <w:r>
        <w:rPr>
          <w:b/>
          <w:bCs/>
          <w:spacing w:val="-2"/>
          <w:lang w:eastAsia="en-US"/>
        </w:rPr>
        <w:t xml:space="preserve">их спортивным инвентарем</w:t>
      </w:r>
      <w:r>
        <w:rPr>
          <w:b/>
          <w:bCs/>
          <w:spacing w:val="-2"/>
        </w:rPr>
        <w:t xml:space="preserve">,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2"/>
          <w14:ligatures w14:val="none"/>
        </w:rPr>
      </w:r>
      <w:r>
        <w:rPr>
          <w:b/>
          <w:bCs/>
          <w:spacing w:val="-2"/>
          <w14:ligatures w14:val="none"/>
        </w:rPr>
      </w:r>
    </w:p>
    <w:p>
      <w:pPr>
        <w:pStyle w:val="920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pacing w:val="-2"/>
        </w:rPr>
        <w:t xml:space="preserve">утвержденн</w:t>
      </w:r>
      <w:r>
        <w:rPr>
          <w:b/>
          <w:bCs/>
          <w:spacing w:val="-2"/>
        </w:rPr>
        <w:t xml:space="preserve">ый</w:t>
      </w:r>
      <w:r>
        <w:rPr>
          <w:b/>
          <w:bCs/>
          <w:spacing w:val="-2"/>
        </w:rPr>
        <w:t xml:space="preserve"> </w:t>
      </w:r>
      <w:r>
        <w:rPr>
          <w:b/>
          <w:bCs/>
          <w:sz w:val="28"/>
          <w:szCs w:val="28"/>
        </w:rPr>
        <w:t xml:space="preserve">постановлением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920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 xml:space="preserve">горо</w:t>
      </w:r>
      <w:r>
        <w:rPr>
          <w:b/>
          <w:bCs/>
          <w:sz w:val="28"/>
          <w:szCs w:val="28"/>
        </w:rPr>
        <w:t xml:space="preserve">да Перми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920"/>
        <w:spacing w:line="240" w:lineRule="exact"/>
        <w:rPr>
          <w:b/>
          <w:bCs/>
          <w:spacing w:val="-2"/>
          <w14:ligatures w14:val="none"/>
        </w:rPr>
      </w:pPr>
      <w:r>
        <w:rPr>
          <w:b/>
          <w:bCs/>
          <w:sz w:val="28"/>
          <w:szCs w:val="28"/>
        </w:rPr>
        <w:t xml:space="preserve">от 20.10.2021 № 920</w:t>
      </w:r>
      <w:r>
        <w:rPr>
          <w:rFonts w:eastAsia="Calibri"/>
          <w:b/>
          <w:lang w:eastAsia="en-US"/>
        </w:rPr>
        <w:t xml:space="preserve"> </w:t>
      </w:r>
      <w:r>
        <w:rPr>
          <w:b/>
          <w:bCs/>
          <w:spacing w:val="-2"/>
          <w14:ligatures w14:val="none"/>
        </w:rPr>
      </w:r>
      <w:r>
        <w:rPr>
          <w:b/>
          <w:bCs/>
          <w:spacing w:val="-2"/>
          <w14:ligatures w14:val="none"/>
        </w:rPr>
      </w:r>
    </w:p>
    <w:p>
      <w:pPr>
        <w:pStyle w:val="920"/>
        <w:ind w:firstLine="720"/>
        <w:jc w:val="both"/>
      </w:pPr>
      <w:r/>
      <w:r/>
    </w:p>
    <w:p>
      <w:pPr>
        <w:pStyle w:val="920"/>
        <w:ind w:firstLine="720"/>
        <w:jc w:val="both"/>
      </w:pPr>
      <w:r/>
      <w:r/>
    </w:p>
    <w:p>
      <w:pPr>
        <w:pStyle w:val="920"/>
        <w:ind w:firstLine="720"/>
        <w:jc w:val="both"/>
      </w:pPr>
      <w:r/>
      <w:r/>
    </w:p>
    <w:p>
      <w:pPr>
        <w:pStyle w:val="981"/>
        <w:ind w:left="0" w:right="0" w:firstLine="709"/>
        <w:jc w:val="both"/>
        <w:spacing w:before="0" w:beforeAutospacing="0" w:after="0" w:afterAutospacing="0"/>
        <w:rPr>
          <w:rFonts w:eastAsia="Calibri"/>
          <w:color w:val="ff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</w:t>
      </w:r>
      <w:r>
        <w:rPr>
          <w:rFonts w:eastAsia="Calibri"/>
          <w:sz w:val="28"/>
          <w:szCs w:val="28"/>
          <w:lang w:eastAsia="en-US"/>
        </w:rPr>
        <w:t xml:space="preserve">ерми</w:t>
      </w:r>
      <w:r>
        <w:rPr>
          <w:rFonts w:eastAsia="Calibri"/>
          <w:color w:val="ff0000"/>
          <w:sz w:val="28"/>
          <w:szCs w:val="28"/>
          <w14:ligatures w14:val="none"/>
        </w:rPr>
      </w:r>
      <w:r>
        <w:rPr>
          <w:rFonts w:eastAsia="Calibri"/>
          <w:color w:val="ff0000"/>
          <w:sz w:val="28"/>
          <w:szCs w:val="28"/>
          <w14:ligatures w14:val="none"/>
        </w:rPr>
      </w:r>
    </w:p>
    <w:p>
      <w:pPr>
        <w:pStyle w:val="981"/>
        <w:ind w:left="0" w:right="0" w:firstLine="0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4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в </w:t>
      </w: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  <w:t xml:space="preserve"> 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субсидий на иные цели бюджетным и автономным учреждениям на устройство муниципаль</w:t>
      </w:r>
      <w:r>
        <w:rPr>
          <w:rFonts w:eastAsia="Calibri"/>
          <w:sz w:val="28"/>
          <w:szCs w:val="28"/>
          <w:lang w:eastAsia="en-US"/>
        </w:rPr>
        <w:t xml:space="preserve">ных плоскостных спортивных сооружений с оснащением их спортивным инвентарем</w:t>
      </w:r>
      <w:r>
        <w:rPr>
          <w:rFonts w:eastAsia="Calibri"/>
          <w:sz w:val="28"/>
          <w:szCs w:val="28"/>
          <w:lang w:eastAsia="en-US"/>
        </w:rPr>
        <w:t xml:space="preserve">, утвержденн</w:t>
      </w:r>
      <w:r>
        <w:rPr>
          <w:rFonts w:eastAsia="Calibri"/>
          <w:sz w:val="28"/>
          <w:szCs w:val="28"/>
          <w:lang w:eastAsia="en-US"/>
        </w:rPr>
        <w:t xml:space="preserve">ый</w:t>
      </w:r>
      <w:r>
        <w:rPr>
          <w:rFonts w:eastAsia="Calibri"/>
          <w:sz w:val="28"/>
          <w:szCs w:val="28"/>
          <w:lang w:eastAsia="en-US"/>
        </w:rPr>
        <w:t xml:space="preserve"> постановлением админи</w:t>
      </w:r>
      <w:r>
        <w:rPr>
          <w:rFonts w:eastAsia="Calibri"/>
          <w:sz w:val="28"/>
          <w:szCs w:val="28"/>
          <w:lang w:eastAsia="en-US"/>
        </w:rPr>
        <w:t xml:space="preserve">страции горо</w:t>
      </w:r>
      <w:r>
        <w:rPr>
          <w:rFonts w:eastAsia="Calibri"/>
          <w:sz w:val="28"/>
          <w:szCs w:val="28"/>
          <w:lang w:eastAsia="en-US"/>
        </w:rPr>
        <w:t xml:space="preserve">да Перми от 20 октября 2021 г. № 920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ред. </w:t>
      </w:r>
      <w:r>
        <w:rPr>
          <w:rFonts w:eastAsia="Calibri"/>
          <w:sz w:val="28"/>
          <w:szCs w:val="28"/>
          <w:lang w:eastAsia="en-US"/>
        </w:rPr>
        <w:t xml:space="preserve">от 14.02.2022 №</w:t>
      </w:r>
      <w:hyperlink r:id="rId13" w:tooltip="https://login.consultant.ru/link/?req=doc&amp;base=RLAW368&amp;n=163676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86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11.05.2022 №</w:t>
      </w:r>
      <w:hyperlink r:id="rId14" w:tooltip="https://login.consultant.ru/link/?req=doc&amp;base=RLAW368&amp;n=166627&amp;dst=100016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351</w:t>
        </w:r>
      </w:hyperlink>
      <w:r>
        <w:rPr>
          <w:rFonts w:eastAsia="Calibri"/>
          <w:sz w:val="28"/>
          <w:szCs w:val="28"/>
          <w:lang w:eastAsia="en-US"/>
        </w:rPr>
        <w:t xml:space="preserve">, от 15.06.2022 №</w:t>
      </w:r>
      <w:hyperlink r:id="rId15" w:tooltip="https://login.consultant.ru/link/?req=doc&amp;base=RLAW368&amp;n=167838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473</w:t>
        </w:r>
      </w:hyperlink>
      <w:r>
        <w:rPr>
          <w:rFonts w:eastAsia="Calibri"/>
          <w:sz w:val="28"/>
          <w:szCs w:val="28"/>
          <w:lang w:eastAsia="en-US"/>
        </w:rPr>
        <w:t xml:space="preserve">, от 22.08.2022 №</w:t>
      </w:r>
      <w:hyperlink r:id="rId16" w:tooltip="https://login.consultant.ru/link/?req=doc&amp;base=RLAW368&amp;n=170204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701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03.10.2022 №</w:t>
      </w:r>
      <w:hyperlink r:id="rId17" w:tooltip="https://login.consultant.ru/link/?req=doc&amp;base=RLAW368&amp;n=171572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892</w:t>
        </w:r>
      </w:hyperlink>
      <w:r>
        <w:rPr>
          <w:rFonts w:eastAsia="Calibri"/>
          <w:sz w:val="28"/>
          <w:szCs w:val="28"/>
          <w:lang w:eastAsia="en-US"/>
        </w:rPr>
        <w:t xml:space="preserve">, от 19.10.2022 </w:t>
        <w:br/>
        <w:t xml:space="preserve">№</w:t>
      </w:r>
      <w:hyperlink r:id="rId18" w:tooltip="https://login.consultant.ru/link/?req=doc&amp;base=RLAW368&amp;n=172181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992</w:t>
        </w:r>
      </w:hyperlink>
      <w:r>
        <w:rPr>
          <w:rFonts w:eastAsia="Calibri"/>
          <w:sz w:val="28"/>
          <w:szCs w:val="28"/>
          <w:lang w:eastAsia="en-US"/>
        </w:rPr>
        <w:t xml:space="preserve">, от 26.12.2022 №</w:t>
      </w:r>
      <w:hyperlink r:id="rId19" w:tooltip="https://login.consultant.ru/link/?req=doc&amp;base=RLAW368&amp;n=175440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1366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30.12.2022 №</w:t>
      </w:r>
      <w:hyperlink r:id="rId20" w:tooltip="https://login.consultant.ru/link/?req=doc&amp;base=RLAW368&amp;n=175812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1428</w:t>
        </w:r>
      </w:hyperlink>
      <w:r>
        <w:rPr>
          <w:rFonts w:eastAsia="Calibri"/>
          <w:sz w:val="28"/>
          <w:szCs w:val="28"/>
          <w:lang w:eastAsia="en-US"/>
        </w:rPr>
        <w:t xml:space="preserve">, от 20.02.2023 №</w:t>
      </w:r>
      <w:hyperlink r:id="rId21" w:tooltip="https://login.consultant.ru/link/?req=doc&amp;base=RLAW368&amp;n=177437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125</w:t>
        </w:r>
      </w:hyperlink>
      <w:r>
        <w:rPr>
          <w:rFonts w:eastAsia="Calibri"/>
          <w:sz w:val="28"/>
          <w:szCs w:val="28"/>
          <w:lang w:eastAsia="en-US"/>
        </w:rPr>
        <w:t xml:space="preserve">, </w:t>
        <w:br/>
        <w:t xml:space="preserve">от 19.06.2023 №</w:t>
      </w:r>
      <w:hyperlink r:id="rId22" w:tooltip="https://login.consultant.ru/link/?req=doc&amp;base=RLAW368&amp;n=181899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502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22.06.2023 №</w:t>
      </w:r>
      <w:hyperlink r:id="rId23" w:tooltip="https://login.consultant.ru/link/?req=doc&amp;base=RLAW368&amp;n=182030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526</w:t>
        </w:r>
      </w:hyperlink>
      <w:r>
        <w:rPr>
          <w:rFonts w:eastAsia="Calibri"/>
          <w:sz w:val="28"/>
          <w:szCs w:val="28"/>
          <w:lang w:eastAsia="en-US"/>
        </w:rPr>
        <w:t xml:space="preserve">, от 09.08.2023 №</w:t>
      </w:r>
      <w:hyperlink r:id="rId24" w:tooltip="https://login.consultant.ru/link/?req=doc&amp;base=RLAW368&amp;n=183759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687</w:t>
        </w:r>
      </w:hyperlink>
      <w:r>
        <w:rPr>
          <w:rFonts w:eastAsia="Calibri"/>
          <w:sz w:val="28"/>
          <w:szCs w:val="28"/>
          <w:lang w:eastAsia="en-US"/>
        </w:rPr>
        <w:t xml:space="preserve">, от 20.10.2023 </w:t>
        <w:br/>
        <w:t xml:space="preserve">№</w:t>
      </w:r>
      <w:hyperlink r:id="rId25" w:tooltip="https://login.consultant.ru/link/?req=doc&amp;base=RLAW368&amp;n=186620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1150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21.12.2023 №</w:t>
      </w:r>
      <w:hyperlink r:id="rId26" w:tooltip="https://login.consultant.ru/link/?req=doc&amp;base=RLAW368&amp;n=189414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1449</w:t>
        </w:r>
      </w:hyperlink>
      <w:r>
        <w:rPr>
          <w:rFonts w:eastAsia="Calibri"/>
          <w:sz w:val="28"/>
          <w:szCs w:val="28"/>
          <w:lang w:eastAsia="en-US"/>
        </w:rPr>
        <w:t xml:space="preserve">, от 14.02.2024 №</w:t>
      </w:r>
      <w:hyperlink r:id="rId27" w:tooltip="https://login.consultant.ru/link/?req=doc&amp;base=RLAW368&amp;n=191639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98</w:t>
        </w:r>
      </w:hyperlink>
      <w:r>
        <w:rPr>
          <w:rFonts w:eastAsia="Calibri"/>
          <w:sz w:val="28"/>
          <w:szCs w:val="28"/>
          <w:lang w:eastAsia="en-US"/>
        </w:rPr>
        <w:t xml:space="preserve">, от 26.02.2024 №</w:t>
      </w:r>
      <w:hyperlink r:id="rId28" w:tooltip="https://login.consultant.ru/link/?req=doc&amp;base=RLAW368&amp;n=192019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137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  <w:br/>
      </w:r>
      <w:r>
        <w:rPr>
          <w:rFonts w:eastAsia="Calibri"/>
          <w:sz w:val="28"/>
          <w:szCs w:val="28"/>
          <w:lang w:eastAsia="en-US"/>
        </w:rPr>
        <w:t xml:space="preserve">от 11.04.2024 №</w:t>
      </w:r>
      <w:hyperlink r:id="rId29" w:tooltip="https://login.consultant.ru/link/?req=doc&amp;base=RLAW368&amp;n=193854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281</w:t>
        </w:r>
      </w:hyperlink>
      <w:r>
        <w:rPr>
          <w:rFonts w:eastAsia="Calibri"/>
          <w:sz w:val="28"/>
          <w:szCs w:val="28"/>
          <w:lang w:eastAsia="en-US"/>
        </w:rPr>
        <w:t xml:space="preserve">, от 08.08.2024 №</w:t>
      </w:r>
      <w:hyperlink r:id="rId30" w:tooltip="https://login.consultant.ru/link/?req=doc&amp;base=RLAW368&amp;n=197573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633</w:t>
        </w:r>
      </w:hyperlink>
      <w:r>
        <w:rPr>
          <w:rFonts w:eastAsia="Calibri"/>
          <w:sz w:val="28"/>
          <w:szCs w:val="28"/>
          <w:lang w:eastAsia="en-US"/>
        </w:rPr>
        <w:t xml:space="preserve">, от 22.10.2024 №</w:t>
      </w:r>
      <w:hyperlink r:id="rId31" w:tooltip="https://login.consultant.ru/link/?req=doc&amp;base=RLAW368&amp;n=200402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999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04.12.2024 </w:t>
        <w:br/>
        <w:t xml:space="preserve">№</w:t>
      </w:r>
      <w:hyperlink r:id="rId32" w:tooltip="https://login.consultant.ru/link/?req=doc&amp;base=RLAW368&amp;n=202374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1170</w:t>
        </w:r>
      </w:hyperlink>
      <w:r>
        <w:rPr>
          <w:rFonts w:eastAsia="Calibri"/>
          <w:sz w:val="28"/>
          <w:szCs w:val="28"/>
          <w:lang w:eastAsia="en-US"/>
        </w:rPr>
        <w:t xml:space="preserve">, от 13.12.2024 №</w:t>
      </w:r>
      <w:hyperlink r:id="rId33" w:tooltip="https://login.consultant.ru/link/?req=doc&amp;base=RLAW368&amp;n=218435&amp;dst=100099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1223</w:t>
        </w:r>
      </w:hyperlink>
      <w:r>
        <w:rPr>
          <w:rFonts w:eastAsia="Calibri"/>
          <w:sz w:val="28"/>
          <w:szCs w:val="28"/>
          <w:lang w:eastAsia="en-US"/>
        </w:rPr>
        <w:t xml:space="preserve">, от 23.12.2024 №</w:t>
      </w:r>
      <w:hyperlink r:id="rId34" w:tooltip="https://login.consultant.ru/link/?req=doc&amp;base=RLAW368&amp;n=203410&amp;dst=10001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1268</w:t>
        </w:r>
      </w:hyperlink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22.09.2025 №</w:t>
      </w:r>
      <w:hyperlink r:id="rId35" w:tooltip="https://login.consultant.ru/link/?req=doc&amp;base=RLAW368&amp;n=212388&amp;dst=100005&amp;field=134&amp;date=16.04.2026" w:history="1">
        <w:r>
          <w:rPr>
            <w:rFonts w:eastAsia="Calibri"/>
            <w:sz w:val="28"/>
            <w:szCs w:val="28"/>
            <w:lang w:eastAsia="en-US"/>
          </w:rPr>
          <w:t xml:space="preserve"> 655</w:t>
        </w:r>
      </w:hyperlink>
      <w:r>
        <w:rPr>
          <w:rFonts w:eastAsia="Calibri"/>
          <w:sz w:val="28"/>
          <w:szCs w:val="28"/>
          <w:lang w:eastAsia="en-US"/>
        </w:rPr>
        <w:t xml:space="preserve">), следующие изменения: </w:t>
      </w:r>
      <w:r>
        <w:rPr>
          <w:rFonts w:eastAsia="Calibri"/>
          <w:sz w:val="24"/>
          <w:lang w:eastAsia="en-US"/>
          <w14:ligatures w14:val="none"/>
        </w:rPr>
      </w:r>
      <w:r>
        <w:rPr>
          <w:rFonts w:eastAsia="Calibri"/>
          <w:sz w:val="24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1.1.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ункт 1.4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«1.4. </w:t>
      </w:r>
      <w:r>
        <w:rPr>
          <w:rFonts w:eastAsia="Calibri"/>
          <w:sz w:val="28"/>
          <w:szCs w:val="28"/>
          <w:lang w:eastAsia="en-US"/>
        </w:rPr>
        <w:t xml:space="preserve">Субсидии на иные цели предоставляются Учреждениям в пределах бюджетных ассигнований, утвержденных решением Пермской городской Думы </w:t>
        <w:br/>
        <w:t xml:space="preserve">о бюджете города Перми на текущий финансовый год и плановы</w:t>
      </w:r>
      <w:r>
        <w:rPr>
          <w:rFonts w:eastAsia="Calibri"/>
          <w:sz w:val="28"/>
          <w:szCs w:val="28"/>
          <w:lang w:eastAsia="en-US"/>
        </w:rPr>
        <w:t xml:space="preserve">й период, в рамках выполнения мероприятий муниципальной программы «</w:t>
      </w:r>
      <w:r>
        <w:rPr>
          <w:rFonts w:eastAsia="Calibri"/>
          <w:sz w:val="28"/>
          <w:szCs w:val="28"/>
          <w:lang w:eastAsia="en-US"/>
        </w:rPr>
        <w:t xml:space="preserve">Развитие физической культуры и спорта города Перми», по следующ</w:t>
      </w:r>
      <w:r>
        <w:rPr>
          <w:rFonts w:eastAsia="Calibri"/>
          <w:sz w:val="28"/>
          <w:szCs w:val="28"/>
          <w:lang w:eastAsia="en-US"/>
        </w:rPr>
        <w:t xml:space="preserve">им</w:t>
      </w:r>
      <w:r>
        <w:rPr>
          <w:rFonts w:eastAsia="Calibri"/>
          <w:sz w:val="28"/>
          <w:szCs w:val="28"/>
          <w:lang w:eastAsia="en-US"/>
        </w:rPr>
        <w:t xml:space="preserve"> направлени</w:t>
      </w:r>
      <w:r>
        <w:rPr>
          <w:rFonts w:eastAsia="Calibri"/>
          <w:sz w:val="28"/>
          <w:szCs w:val="28"/>
          <w:lang w:eastAsia="en-US"/>
        </w:rPr>
        <w:t xml:space="preserve">ям</w:t>
      </w:r>
      <w:r>
        <w:rPr>
          <w:rFonts w:eastAsia="Calibri"/>
          <w:sz w:val="28"/>
          <w:szCs w:val="28"/>
          <w:lang w:eastAsia="en-US"/>
        </w:rPr>
        <w:t xml:space="preserve"> расходов: устройство муниципальных плоскостных спортивных сооружений с оснащением их спортивным инвентарем; р</w:t>
      </w:r>
      <w:r>
        <w:rPr>
          <w:rFonts w:eastAsia="Calibri"/>
          <w:sz w:val="28"/>
          <w:szCs w:val="28"/>
          <w:lang w:eastAsia="en-US"/>
        </w:rPr>
        <w:t xml:space="preserve">азработка проектно-сметной докуме</w:t>
      </w:r>
      <w:r>
        <w:rPr>
          <w:rFonts w:eastAsia="Calibri"/>
          <w:sz w:val="28"/>
          <w:szCs w:val="28"/>
          <w:lang w:eastAsia="en-US"/>
        </w:rPr>
        <w:t xml:space="preserve">нтации </w:t>
        <w:br/>
        <w:t xml:space="preserve">по устройству </w:t>
      </w:r>
      <w:r>
        <w:rPr>
          <w:rFonts w:eastAsia="Calibri"/>
          <w:sz w:val="28"/>
          <w:szCs w:val="28"/>
          <w:lang w:eastAsia="en-US"/>
        </w:rPr>
        <w:t xml:space="preserve">муниципальных плоскостных спортивных сооружений.»;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</w:rPr>
        <w:t xml:space="preserve">1.2.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ункт 2.8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«2.8. </w:t>
      </w:r>
      <w:r>
        <w:rPr>
          <w:rFonts w:eastAsia="Calibri"/>
          <w:sz w:val="28"/>
          <w:szCs w:val="28"/>
          <w:lang w:eastAsia="en-US"/>
        </w:rPr>
        <w:t xml:space="preserve">Размер субсидий на иные цели определяется на основании предварительного сводного и локального сметного расчета на </w:t>
      </w:r>
      <w:r>
        <w:rPr>
          <w:rFonts w:eastAsia="Calibri"/>
          <w:sz w:val="28"/>
          <w:szCs w:val="28"/>
          <w:lang w:eastAsia="en-US"/>
        </w:rPr>
        <w:t xml:space="preserve">устройство муниципальных плоскостных спортивных сооружений с оснащением их спортивным инвентарем, а также на р</w:t>
      </w:r>
      <w:r>
        <w:rPr>
          <w:rFonts w:eastAsia="Calibri"/>
          <w:sz w:val="28"/>
          <w:szCs w:val="28"/>
          <w:lang w:eastAsia="en-US"/>
        </w:rPr>
        <w:t xml:space="preserve">азработку проектно-сметной докуме</w:t>
      </w:r>
      <w:r>
        <w:rPr>
          <w:rFonts w:eastAsia="Calibri"/>
          <w:sz w:val="28"/>
          <w:szCs w:val="28"/>
          <w:lang w:eastAsia="en-US"/>
        </w:rPr>
        <w:t xml:space="preserve">нтации по устройству </w:t>
      </w:r>
      <w:r>
        <w:rPr>
          <w:rFonts w:eastAsia="Calibri"/>
          <w:sz w:val="28"/>
          <w:szCs w:val="28"/>
          <w:lang w:eastAsia="en-US"/>
        </w:rPr>
        <w:t xml:space="preserve">муниципальных плоскостных спортивных сооружений, </w:t>
        <w:br/>
      </w:r>
      <w:r>
        <w:rPr>
          <w:rFonts w:eastAsia="Calibri"/>
          <w:sz w:val="28"/>
          <w:szCs w:val="28"/>
          <w:lang w:eastAsia="en-US"/>
        </w:rPr>
        <w:t xml:space="preserve">в актуальных ценах, согласованного с муниципальным казенным учреждением «Административно-хозяйственная служба системы образования» г. Перми, обос</w:t>
      </w:r>
      <w:r>
        <w:rPr>
          <w:rFonts w:eastAsia="Calibri"/>
          <w:sz w:val="28"/>
          <w:szCs w:val="28"/>
          <w:lang w:eastAsia="en-US"/>
        </w:rPr>
        <w:t xml:space="preserve">нования цены материалов (оборудования), включенных в локальные сметные расчеты на основании прайс-листов, коммерческих предложений с приложением не менее трех ценовых информаций.»;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1.3. приложение 2 изложить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  <w:t xml:space="preserve">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1"/>
        <w:ind w:firstLine="720"/>
        <w:jc w:val="both"/>
        <w:spacing w:before="0" w:beforeAutospacing="0" w:after="0" w:afterAutospacing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2. Настояще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постановление вступает в силу </w:t>
      </w:r>
      <w:r>
        <w:rPr>
          <w:color w:val="000000" w:themeColor="text1"/>
          <w:sz w:val="28"/>
          <w:szCs w:val="28"/>
        </w:rPr>
        <w:t xml:space="preserve">со дня </w:t>
      </w:r>
      <w:r>
        <w:rPr>
          <w:color w:val="000000" w:themeColor="text1"/>
          <w:sz w:val="28"/>
          <w:szCs w:val="28"/>
        </w:rPr>
        <w:t xml:space="preserve">официального опубликования в печатном средстве массовой информации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распространяет </w:t>
      </w:r>
      <w:r>
        <w:rPr>
          <w:color w:val="000000" w:themeColor="text1"/>
          <w:sz w:val="28"/>
          <w:szCs w:val="28"/>
        </w:rPr>
        <w:t xml:space="preserve">свое действие на правоотношения, возникшие с 05 мая 2025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8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36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 постановлению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528"/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13.05.2026 № 274</w:t>
      </w:r>
      <w:r>
        <w:rPr>
          <w:sz w:val="28"/>
          <w:szCs w:val="28"/>
          <w:highlight w:val="none"/>
        </w:rPr>
      </w:r>
    </w:p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left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left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b/>
          <w:bCs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РАСЧЕТ-ОБОСНОВАНИЕ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суммы субс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идии на иные цели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20___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учреждения)</w:t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tbl>
      <w:tblPr>
        <w:tblStyle w:val="9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725"/>
        <w:gridCol w:w="4290"/>
        <w:gridCol w:w="35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Планируемые мероприятия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для направления субсидий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иные цели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Сумма субсидий,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textDirection w:val="lrTb"/>
            <w:noWrap w:val="false"/>
          </w:tcPr>
          <w:p>
            <w:pPr>
              <w:ind w:left="57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Устройство муниципального плоскостного сооружения с оснащением его спортивным инвентарем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Разработка проектно-сметной докуме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нтации по устройству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муниципальных плоскостных спортивных сооружений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tbl>
      <w:tblPr>
        <w:tblStyle w:val="9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учреждения 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396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(подпись, расшифровка подписи)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396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20__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89"/>
    <w:link w:val="887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89"/>
    <w:link w:val="888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89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9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9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9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6"/>
    <w:next w:val="88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9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6"/>
    <w:next w:val="886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9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86"/>
    <w:next w:val="886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89"/>
    <w:link w:val="733"/>
    <w:uiPriority w:val="10"/>
    <w:rPr>
      <w:sz w:val="48"/>
      <w:szCs w:val="48"/>
    </w:rPr>
  </w:style>
  <w:style w:type="paragraph" w:styleId="735">
    <w:name w:val="Subtitle"/>
    <w:basedOn w:val="886"/>
    <w:next w:val="886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89"/>
    <w:link w:val="735"/>
    <w:uiPriority w:val="11"/>
    <w:rPr>
      <w:sz w:val="24"/>
      <w:szCs w:val="24"/>
    </w:rPr>
  </w:style>
  <w:style w:type="paragraph" w:styleId="737">
    <w:name w:val="Quote"/>
    <w:basedOn w:val="886"/>
    <w:next w:val="886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6"/>
    <w:next w:val="886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89"/>
    <w:link w:val="897"/>
    <w:uiPriority w:val="99"/>
  </w:style>
  <w:style w:type="character" w:styleId="742">
    <w:name w:val="Footer Char"/>
    <w:basedOn w:val="889"/>
    <w:link w:val="895"/>
    <w:uiPriority w:val="99"/>
  </w:style>
  <w:style w:type="character" w:styleId="743">
    <w:name w:val="Caption Char"/>
    <w:basedOn w:val="889"/>
    <w:link w:val="89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3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4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5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6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7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8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9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9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</w:style>
  <w:style w:type="paragraph" w:styleId="887">
    <w:name w:val="Heading 1"/>
    <w:basedOn w:val="886"/>
    <w:next w:val="886"/>
    <w:qFormat/>
    <w:pPr>
      <w:ind w:right="-1" w:firstLine="709"/>
      <w:jc w:val="both"/>
      <w:keepNext/>
      <w:outlineLvl w:val="0"/>
    </w:pPr>
    <w:rPr>
      <w:sz w:val="24"/>
    </w:rPr>
  </w:style>
  <w:style w:type="paragraph" w:styleId="888">
    <w:name w:val="Heading 2"/>
    <w:basedOn w:val="886"/>
    <w:next w:val="886"/>
    <w:qFormat/>
    <w:pPr>
      <w:ind w:right="-1"/>
      <w:jc w:val="both"/>
      <w:keepNext/>
      <w:outlineLvl w:val="1"/>
    </w:pPr>
    <w:rPr>
      <w:sz w:val="24"/>
    </w:rPr>
  </w:style>
  <w:style w:type="character" w:styleId="889" w:default="1">
    <w:name w:val="Default Paragraph Font"/>
    <w:semiHidden/>
  </w:style>
  <w:style w:type="table" w:styleId="89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semiHidden/>
  </w:style>
  <w:style w:type="paragraph" w:styleId="892">
    <w:name w:val="Caption"/>
    <w:basedOn w:val="886"/>
    <w:next w:val="886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886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886"/>
    <w:pPr>
      <w:ind w:right="-1"/>
      <w:jc w:val="both"/>
    </w:pPr>
    <w:rPr>
      <w:sz w:val="26"/>
    </w:rPr>
  </w:style>
  <w:style w:type="paragraph" w:styleId="895">
    <w:name w:val="Footer"/>
    <w:basedOn w:val="886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889"/>
  </w:style>
  <w:style w:type="paragraph" w:styleId="897">
    <w:name w:val="Header"/>
    <w:basedOn w:val="886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886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891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8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88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891"/>
    <w:uiPriority w:val="99"/>
    <w:semiHidden/>
    <w:unhideWhenUsed/>
  </w:style>
  <w:style w:type="numbering" w:styleId="924" w:customStyle="1">
    <w:name w:val="Нет списка111"/>
    <w:next w:val="891"/>
    <w:uiPriority w:val="99"/>
    <w:semiHidden/>
    <w:unhideWhenUsed/>
  </w:style>
  <w:style w:type="paragraph" w:styleId="925" w:customStyle="1">
    <w:name w:val="font5"/>
    <w:basedOn w:val="88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88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89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 w:customStyle="1">
    <w:name w:val="xl8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88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88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88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88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88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8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891"/>
    <w:uiPriority w:val="99"/>
    <w:semiHidden/>
    <w:unhideWhenUsed/>
  </w:style>
  <w:style w:type="numbering" w:styleId="974" w:customStyle="1">
    <w:name w:val="Нет списка3"/>
    <w:next w:val="891"/>
    <w:uiPriority w:val="99"/>
    <w:semiHidden/>
    <w:unhideWhenUsed/>
  </w:style>
  <w:style w:type="paragraph" w:styleId="975" w:customStyle="1">
    <w:name w:val="font6"/>
    <w:basedOn w:val="88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88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88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891"/>
    <w:uiPriority w:val="99"/>
    <w:semiHidden/>
    <w:unhideWhenUsed/>
  </w:style>
  <w:style w:type="paragraph" w:styleId="979">
    <w:name w:val="List Paragraph"/>
    <w:basedOn w:val="88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  <w:style w:type="paragraph" w:styleId="981" w:customStyle="1">
    <w:name w:val="Normal (Web)"/>
    <w:basedOn w:val="74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63676&amp;dst=100005&amp;field=134&amp;date=16.04.2026" TargetMode="External"/><Relationship Id="rId14" Type="http://schemas.openxmlformats.org/officeDocument/2006/relationships/hyperlink" Target="https://login.consultant.ru/link/?req=doc&amp;base=RLAW368&amp;n=166627&amp;dst=100016&amp;field=134&amp;date=16.04.2026" TargetMode="External"/><Relationship Id="rId15" Type="http://schemas.openxmlformats.org/officeDocument/2006/relationships/hyperlink" Target="https://login.consultant.ru/link/?req=doc&amp;base=RLAW368&amp;n=167838&amp;dst=100005&amp;field=134&amp;date=16.04.2026" TargetMode="External"/><Relationship Id="rId16" Type="http://schemas.openxmlformats.org/officeDocument/2006/relationships/hyperlink" Target="https://login.consultant.ru/link/?req=doc&amp;base=RLAW368&amp;n=170204&amp;dst=100005&amp;field=134&amp;date=16.04.2026" TargetMode="External"/><Relationship Id="rId17" Type="http://schemas.openxmlformats.org/officeDocument/2006/relationships/hyperlink" Target="https://login.consultant.ru/link/?req=doc&amp;base=RLAW368&amp;n=171572&amp;dst=100005&amp;field=134&amp;date=16.04.2026" TargetMode="External"/><Relationship Id="rId18" Type="http://schemas.openxmlformats.org/officeDocument/2006/relationships/hyperlink" Target="https://login.consultant.ru/link/?req=doc&amp;base=RLAW368&amp;n=172181&amp;dst=100005&amp;field=134&amp;date=16.04.2026" TargetMode="External"/><Relationship Id="rId19" Type="http://schemas.openxmlformats.org/officeDocument/2006/relationships/hyperlink" Target="https://login.consultant.ru/link/?req=doc&amp;base=RLAW368&amp;n=175440&amp;dst=100005&amp;field=134&amp;date=16.04.2026" TargetMode="External"/><Relationship Id="rId20" Type="http://schemas.openxmlformats.org/officeDocument/2006/relationships/hyperlink" Target="https://login.consultant.ru/link/?req=doc&amp;base=RLAW368&amp;n=175812&amp;dst=100005&amp;field=134&amp;date=16.04.2026" TargetMode="External"/><Relationship Id="rId21" Type="http://schemas.openxmlformats.org/officeDocument/2006/relationships/hyperlink" Target="https://login.consultant.ru/link/?req=doc&amp;base=RLAW368&amp;n=177437&amp;dst=100005&amp;field=134&amp;date=16.04.2026" TargetMode="External"/><Relationship Id="rId22" Type="http://schemas.openxmlformats.org/officeDocument/2006/relationships/hyperlink" Target="https://login.consultant.ru/link/?req=doc&amp;base=RLAW368&amp;n=181899&amp;dst=100005&amp;field=134&amp;date=16.04.2026" TargetMode="External"/><Relationship Id="rId23" Type="http://schemas.openxmlformats.org/officeDocument/2006/relationships/hyperlink" Target="https://login.consultant.ru/link/?req=doc&amp;base=RLAW368&amp;n=182030&amp;dst=100005&amp;field=134&amp;date=16.04.2026" TargetMode="External"/><Relationship Id="rId24" Type="http://schemas.openxmlformats.org/officeDocument/2006/relationships/hyperlink" Target="https://login.consultant.ru/link/?req=doc&amp;base=RLAW368&amp;n=183759&amp;dst=100005&amp;field=134&amp;date=16.04.2026" TargetMode="External"/><Relationship Id="rId25" Type="http://schemas.openxmlformats.org/officeDocument/2006/relationships/hyperlink" Target="https://login.consultant.ru/link/?req=doc&amp;base=RLAW368&amp;n=186620&amp;dst=100005&amp;field=134&amp;date=16.04.2026" TargetMode="External"/><Relationship Id="rId26" Type="http://schemas.openxmlformats.org/officeDocument/2006/relationships/hyperlink" Target="https://login.consultant.ru/link/?req=doc&amp;base=RLAW368&amp;n=189414&amp;dst=100005&amp;field=134&amp;date=16.04.2026" TargetMode="External"/><Relationship Id="rId27" Type="http://schemas.openxmlformats.org/officeDocument/2006/relationships/hyperlink" Target="https://login.consultant.ru/link/?req=doc&amp;base=RLAW368&amp;n=191639&amp;dst=100005&amp;field=134&amp;date=16.04.2026" TargetMode="External"/><Relationship Id="rId28" Type="http://schemas.openxmlformats.org/officeDocument/2006/relationships/hyperlink" Target="https://login.consultant.ru/link/?req=doc&amp;base=RLAW368&amp;n=192019&amp;dst=100005&amp;field=134&amp;date=16.04.2026" TargetMode="External"/><Relationship Id="rId29" Type="http://schemas.openxmlformats.org/officeDocument/2006/relationships/hyperlink" Target="https://login.consultant.ru/link/?req=doc&amp;base=RLAW368&amp;n=193854&amp;dst=100005&amp;field=134&amp;date=16.04.2026" TargetMode="External"/><Relationship Id="rId30" Type="http://schemas.openxmlformats.org/officeDocument/2006/relationships/hyperlink" Target="https://login.consultant.ru/link/?req=doc&amp;base=RLAW368&amp;n=197573&amp;dst=100005&amp;field=134&amp;date=16.04.2026" TargetMode="External"/><Relationship Id="rId31" Type="http://schemas.openxmlformats.org/officeDocument/2006/relationships/hyperlink" Target="https://login.consultant.ru/link/?req=doc&amp;base=RLAW368&amp;n=200402&amp;dst=100005&amp;field=134&amp;date=16.04.2026" TargetMode="External"/><Relationship Id="rId32" Type="http://schemas.openxmlformats.org/officeDocument/2006/relationships/hyperlink" Target="https://login.consultant.ru/link/?req=doc&amp;base=RLAW368&amp;n=202374&amp;dst=100005&amp;field=134&amp;date=16.04.2026" TargetMode="External"/><Relationship Id="rId33" Type="http://schemas.openxmlformats.org/officeDocument/2006/relationships/hyperlink" Target="https://login.consultant.ru/link/?req=doc&amp;base=RLAW368&amp;n=218435&amp;dst=100099&amp;field=134&amp;date=16.04.2026" TargetMode="External"/><Relationship Id="rId34" Type="http://schemas.openxmlformats.org/officeDocument/2006/relationships/hyperlink" Target="https://login.consultant.ru/link/?req=doc&amp;base=RLAW368&amp;n=203410&amp;dst=100015&amp;field=134&amp;date=16.04.2026" TargetMode="External"/><Relationship Id="rId35" Type="http://schemas.openxmlformats.org/officeDocument/2006/relationships/hyperlink" Target="https://login.consultant.ru/link/?req=doc&amp;base=RLAW368&amp;n=212388&amp;dst=100005&amp;field=134&amp;date=16.04.2026" TargetMode="External"/><Relationship Id="rId3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35</cp:revision>
  <dcterms:created xsi:type="dcterms:W3CDTF">2024-10-25T06:26:00Z</dcterms:created>
  <dcterms:modified xsi:type="dcterms:W3CDTF">2026-05-13T10:43:16Z</dcterms:modified>
</cp:coreProperties>
</file>