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4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4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94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4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287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287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19.05.2026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19.05.2026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p>
      <w:pPr>
        <w:pStyle w:val="922"/>
        <w:spacing w:line="240" w:lineRule="exact"/>
        <w:rPr>
          <w:rFonts w:eastAsia="Calibri"/>
          <w:b/>
          <w:bCs/>
          <w:lang w:eastAsia="en-US"/>
        </w:rPr>
      </w:pPr>
      <w:r>
        <w:rPr>
          <w:b/>
          <w:spacing w:val="-2"/>
        </w:rPr>
        <w:t xml:space="preserve">Об утверждении </w:t>
      </w:r>
      <w:r>
        <w:rPr>
          <w:rFonts w:eastAsia="Calibri"/>
          <w:b/>
          <w:lang w:eastAsia="en-US"/>
        </w:rPr>
        <w:t xml:space="preserve">Порядка </w:t>
      </w: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pStyle w:val="922"/>
        <w:spacing w:line="240" w:lineRule="exact"/>
        <w:rPr>
          <w:rFonts w:eastAsia="Calibri"/>
          <w:b/>
          <w:bCs/>
          <w:lang w:eastAsia="en-US"/>
        </w:rPr>
      </w:pPr>
      <w:r>
        <w:rPr>
          <w:rFonts w:eastAsia="Calibri"/>
          <w:b/>
          <w:lang w:eastAsia="en-US"/>
        </w:rPr>
        <w:t xml:space="preserve">определения объема и условий </w:t>
      </w: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pStyle w:val="922"/>
        <w:spacing w:line="240" w:lineRule="exact"/>
        <w:rPr>
          <w:rFonts w:eastAsia="Calibri"/>
          <w:b/>
          <w:bCs/>
          <w:lang w:eastAsia="en-US"/>
        </w:rPr>
      </w:pPr>
      <w:r>
        <w:rPr>
          <w:rFonts w:eastAsia="Calibri"/>
          <w:b/>
          <w:lang w:eastAsia="en-US"/>
        </w:rPr>
        <w:t xml:space="preserve">предоставления субсидий на иные </w:t>
      </w: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pStyle w:val="922"/>
        <w:spacing w:line="240" w:lineRule="exact"/>
        <w:rPr>
          <w:rFonts w:eastAsia="Calibri"/>
          <w:b/>
          <w:bCs/>
          <w:lang w:eastAsia="en-US"/>
        </w:rPr>
      </w:pPr>
      <w:r>
        <w:rPr>
          <w:rFonts w:eastAsia="Calibri"/>
          <w:b/>
          <w:lang w:eastAsia="en-US"/>
        </w:rPr>
        <w:t xml:space="preserve">цели бюджетным и </w:t>
      </w:r>
      <w:r>
        <w:rPr>
          <w:rFonts w:eastAsia="Calibri"/>
          <w:b/>
          <w:lang w:eastAsia="en-US"/>
        </w:rPr>
        <w:t xml:space="preserve">автономным </w:t>
      </w: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pStyle w:val="922"/>
        <w:spacing w:line="240" w:lineRule="exact"/>
        <w:rPr>
          <w:rFonts w:eastAsia="Calibri"/>
          <w:b/>
          <w:bCs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  <w:t xml:space="preserve">учреждениям, </w:t>
      </w:r>
      <w:r>
        <w:rPr>
          <w:rFonts w:eastAsia="Calibri"/>
          <w:b/>
          <w:lang w:eastAsia="en-US"/>
        </w:rPr>
        <w:t xml:space="preserve">подведомственным</w:t>
      </w:r>
      <w:r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pStyle w:val="922"/>
        <w:spacing w:line="240" w:lineRule="exact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lang w:eastAsia="en-US"/>
        </w:rPr>
        <w:t xml:space="preserve">комитету </w:t>
      </w:r>
      <w:r>
        <w:rPr>
          <w:rFonts w:eastAsia="Calibri"/>
          <w:b/>
          <w:lang w:eastAsia="en-US"/>
        </w:rPr>
        <w:t xml:space="preserve">по физической культуре</w:t>
      </w: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pStyle w:val="922"/>
        <w:spacing w:line="240" w:lineRule="exact"/>
        <w:rPr>
          <w:rFonts w:eastAsia="Calibri"/>
          <w:b/>
          <w:bCs/>
          <w:lang w:eastAsia="en-US"/>
        </w:rPr>
      </w:pPr>
      <w:r>
        <w:rPr>
          <w:rFonts w:eastAsia="Calibri"/>
          <w:b/>
          <w:lang w:eastAsia="en-US"/>
        </w:rPr>
        <w:t xml:space="preserve">и спорту администрации </w:t>
      </w: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pStyle w:val="922"/>
        <w:spacing w:line="240" w:lineRule="exact"/>
        <w:rPr>
          <w:rFonts w:eastAsia="Calibri"/>
          <w:b/>
          <w:bCs/>
          <w:lang w:eastAsia="en-US"/>
        </w:rPr>
      </w:pPr>
      <w:r>
        <w:rPr>
          <w:rFonts w:eastAsia="Calibri"/>
          <w:b/>
          <w:lang w:eastAsia="en-US"/>
        </w:rPr>
        <w:t xml:space="preserve">города Перми,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 xml:space="preserve">на государственную </w:t>
      </w: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pStyle w:val="922"/>
        <w:spacing w:line="240" w:lineRule="exact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lang w:eastAsia="en-US"/>
        </w:rPr>
        <w:t xml:space="preserve">поддержку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highlight w:val="none"/>
          <w:lang w:eastAsia="en-US"/>
        </w:rPr>
        <w:t xml:space="preserve">организаций, входящих </w:t>
      </w:r>
      <w:r>
        <w:rPr>
          <w:rFonts w:eastAsia="Calibri"/>
          <w:b/>
          <w:bCs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pStyle w:val="922"/>
        <w:spacing w:line="240" w:lineRule="exact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highlight w:val="none"/>
          <w:lang w:eastAsia="en-US"/>
        </w:rPr>
        <w:t xml:space="preserve">в систему</w:t>
      </w:r>
      <w:r>
        <w:rPr>
          <w:rFonts w:eastAsia="Calibri"/>
          <w:b/>
          <w:highlight w:val="none"/>
          <w:lang w:eastAsia="en-US"/>
        </w:rPr>
        <w:t xml:space="preserve"> </w:t>
      </w:r>
      <w:r>
        <w:rPr>
          <w:rFonts w:eastAsia="Calibri"/>
          <w:b/>
          <w:highlight w:val="none"/>
          <w:lang w:eastAsia="en-US"/>
        </w:rPr>
        <w:t xml:space="preserve">спортивной подготовки</w:t>
      </w:r>
      <w:r>
        <w:rPr>
          <w:rFonts w:eastAsia="Calibri"/>
          <w:b/>
          <w:highlight w:val="none"/>
          <w:lang w:eastAsia="en-US"/>
        </w:rPr>
        <w:t xml:space="preserve">, </w:t>
      </w:r>
      <w:r>
        <w:rPr>
          <w:rFonts w:eastAsia="Calibri"/>
          <w:b/>
          <w:bCs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pStyle w:val="922"/>
        <w:spacing w:line="240" w:lineRule="exact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highlight w:val="none"/>
          <w:lang w:eastAsia="en-US"/>
        </w:rPr>
        <w:t xml:space="preserve">и о признании</w:t>
      </w:r>
      <w:r>
        <w:rPr>
          <w:rFonts w:eastAsia="Calibri"/>
          <w:b/>
          <w:highlight w:val="none"/>
          <w:lang w:eastAsia="en-US"/>
        </w:rPr>
        <w:t xml:space="preserve"> </w:t>
      </w:r>
      <w:r>
        <w:rPr>
          <w:rFonts w:eastAsia="Calibri"/>
          <w:b/>
          <w:highlight w:val="none"/>
          <w:lang w:eastAsia="en-US"/>
        </w:rPr>
        <w:t xml:space="preserve">утратившими </w:t>
      </w:r>
      <w:r>
        <w:rPr>
          <w:rFonts w:eastAsia="Calibri"/>
          <w:b/>
          <w:bCs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pStyle w:val="922"/>
        <w:spacing w:line="240" w:lineRule="exact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highlight w:val="none"/>
          <w:lang w:eastAsia="en-US"/>
        </w:rPr>
        <w:t xml:space="preserve">силу отдельных правовых актов</w:t>
      </w:r>
      <w:r>
        <w:rPr>
          <w:rFonts w:eastAsia="Calibri"/>
          <w:b/>
          <w:bCs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pStyle w:val="922"/>
        <w:spacing w:line="240" w:lineRule="exact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highlight w:val="none"/>
          <w:lang w:eastAsia="en-US"/>
        </w:rPr>
        <w:t xml:space="preserve">администрации города Перми</w:t>
      </w: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pStyle w:val="922"/>
        <w:ind w:firstLine="0"/>
        <w:jc w:val="both"/>
      </w:pPr>
      <w:r/>
      <w:r/>
    </w:p>
    <w:p>
      <w:pPr>
        <w:pStyle w:val="922"/>
        <w:ind w:firstLine="0"/>
        <w:jc w:val="both"/>
      </w:pPr>
      <w:r/>
      <w:r/>
    </w:p>
    <w:p>
      <w:pPr>
        <w:pStyle w:val="922"/>
        <w:ind w:firstLine="0"/>
        <w:jc w:val="both"/>
      </w:pPr>
      <w:r/>
      <w:r/>
    </w:p>
    <w:p>
      <w:pPr>
        <w:pStyle w:val="924"/>
        <w:ind w:left="0" w:right="0" w:firstLine="720"/>
        <w:jc w:val="both"/>
        <w:widowControl/>
        <w:rPr>
          <w:rFonts w:eastAsia="Calibri"/>
          <w:strike w:val="0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  <w:t xml:space="preserve">В соответствии </w:t>
      </w:r>
      <w:r>
        <w:rPr>
          <w:rFonts w:eastAsia="Calibri"/>
          <w:sz w:val="28"/>
          <w:szCs w:val="28"/>
          <w:lang w:eastAsia="en-US"/>
        </w:rPr>
        <w:t xml:space="preserve">с </w:t>
      </w:r>
      <w:hyperlink r:id="rId13" w:tooltip="https://login.consultant.ru/link/?req=doc&amp;base=LAW&amp;n=470713&amp;dst=3146&amp;field=134&amp;date=17.03.2026" w:history="1">
        <w:r>
          <w:rPr>
            <w:rFonts w:eastAsia="Calibri"/>
            <w:sz w:val="28"/>
            <w:szCs w:val="28"/>
            <w:lang w:eastAsia="en-US"/>
          </w:rPr>
          <w:t xml:space="preserve">абзацем вторым пункта 1 статьи 78.1</w:t>
        </w:r>
      </w:hyperlink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Федерации, </w:t>
      </w:r>
      <w:hyperlink r:id="rId14" w:tooltip="https://login.consultant.ru/link/?req=doc&amp;base=LAW&amp;n=470430&amp;date=17.03.2026" w:history="1">
        <w:r>
          <w:rPr>
            <w:rFonts w:eastAsia="Calibri"/>
            <w:sz w:val="28"/>
            <w:szCs w:val="28"/>
            <w:lang w:eastAsia="en-US"/>
          </w:rPr>
          <w:t xml:space="preserve">постановлением</w:t>
        </w:r>
      </w:hyperlink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Правительства Российской Федерации </w:t>
        <w:br/>
        <w:t xml:space="preserve">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</w:t>
      </w:r>
      <w:r>
        <w:rPr>
          <w:rFonts w:eastAsia="Calibri"/>
          <w:sz w:val="28"/>
          <w:szCs w:val="28"/>
          <w:lang w:eastAsia="en-US"/>
        </w:rPr>
        <w:t xml:space="preserve">ий на иные цели</w:t>
      </w:r>
      <w:r>
        <w:rPr>
          <w:rFonts w:eastAsia="Calibri"/>
          <w:strike w:val="0"/>
          <w:color w:val="000000" w:themeColor="text1"/>
          <w:sz w:val="28"/>
          <w:szCs w:val="28"/>
          <w:lang w:eastAsia="en-US"/>
        </w:rPr>
        <w:t xml:space="preserve">»</w:t>
      </w:r>
      <w:r>
        <w:rPr>
          <w:rFonts w:eastAsia="Calibri"/>
          <w:strike w:val="0"/>
          <w:color w:val="000000" w:themeColor="text1"/>
          <w:sz w:val="28"/>
          <w:szCs w:val="28"/>
          <w:lang w:eastAsia="en-US"/>
        </w:rPr>
        <w:t xml:space="preserve">, </w:t>
      </w:r>
      <w:r>
        <w:rPr>
          <w:rFonts w:eastAsia="Calibri"/>
          <w:strike w:val="0"/>
          <w:color w:val="000000" w:themeColor="text1"/>
          <w:sz w:val="28"/>
          <w:szCs w:val="28"/>
          <w:lang w:eastAsia="en-US"/>
        </w:rPr>
        <w:t xml:space="preserve">п</w:t>
      </w:r>
      <w:r>
        <w:rPr>
          <w:rFonts w:eastAsia="Calibri"/>
          <w:strike w:val="0"/>
          <w:color w:val="000000" w:themeColor="text1"/>
          <w:sz w:val="28"/>
          <w:szCs w:val="28"/>
          <w:lang w:eastAsia="en-US"/>
        </w:rPr>
        <w:t xml:space="preserve">остановлением Правительства Пермского края от 24 декабря 2019 г. № 991-П «</w:t>
      </w:r>
      <w:r>
        <w:rPr>
          <w:rFonts w:eastAsia="Calibri"/>
          <w:strike w:val="0"/>
          <w:color w:val="000000" w:themeColor="text1"/>
          <w:sz w:val="28"/>
          <w:szCs w:val="28"/>
          <w:lang w:eastAsia="en-US"/>
        </w:rPr>
        <w:t xml:space="preserve">Об установлении расходного обязательства Пермского края на государственную поддержку организаций, входящих в систему спортивной подготовки, и об утверждении Порядка предоставления иных межбюджетных трансфертов из бюджета Пермского края бюджетам муниципаль</w:t>
      </w:r>
      <w:r>
        <w:rPr>
          <w:rFonts w:eastAsia="Calibri"/>
          <w:strike w:val="0"/>
          <w:color w:val="000000" w:themeColor="text1"/>
          <w:sz w:val="28"/>
          <w:szCs w:val="28"/>
          <w:lang w:eastAsia="en-US"/>
        </w:rPr>
        <w:t xml:space="preserve">ных образований Пермского края на государственную поддержку организаций, входящих в систему спортивной подготовки»</w:t>
      </w:r>
      <w:r>
        <w:rPr>
          <w:rFonts w:eastAsia="Calibri"/>
          <w:strike w:val="0"/>
          <w:color w:val="000000" w:themeColor="text1"/>
          <w:sz w:val="28"/>
          <w:szCs w:val="28"/>
          <w14:ligatures w14:val="none"/>
        </w:rPr>
      </w:r>
      <w:r>
        <w:rPr>
          <w:rFonts w:eastAsia="Calibri"/>
          <w:strike w:val="0"/>
          <w:color w:val="000000" w:themeColor="text1"/>
          <w:sz w:val="28"/>
          <w:szCs w:val="28"/>
          <w14:ligatures w14:val="none"/>
        </w:rPr>
      </w:r>
    </w:p>
    <w:p>
      <w:pPr>
        <w:pStyle w:val="983"/>
        <w:ind w:firstLine="0"/>
        <w:jc w:val="both"/>
        <w:spacing w:before="0" w:beforeAutospacing="0" w:after="0" w:afterAutospacing="0"/>
        <w:rPr>
          <w:rFonts w:eastAsia="Calibri"/>
          <w:sz w:val="28"/>
          <w:szCs w:val="28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администрация города Перми ПОСТАНОВЛЯЕТ: </w:t>
      </w:r>
      <w:r>
        <w:rPr>
          <w:rFonts w:eastAsia="Calibri"/>
          <w:sz w:val="28"/>
          <w:szCs w:val="28"/>
          <w:lang w:eastAsia="en-US"/>
          <w14:ligatures w14:val="none"/>
        </w:rPr>
      </w:r>
      <w:r>
        <w:rPr>
          <w:rFonts w:eastAsia="Calibri"/>
          <w:sz w:val="28"/>
          <w:szCs w:val="28"/>
          <w:lang w:eastAsia="en-US"/>
          <w14:ligatures w14:val="none"/>
        </w:rPr>
      </w:r>
    </w:p>
    <w:p>
      <w:pPr>
        <w:pStyle w:val="983"/>
        <w:ind w:left="0" w:right="0" w:firstLine="720"/>
        <w:jc w:val="both"/>
        <w:spacing w:before="0" w:beforeAutospacing="0" w:after="0" w:afterAutospacing="0"/>
        <w:rPr>
          <w:rFonts w:ascii="Times New Roman" w:hAnsi="Times New Roman" w:cs="Times New Roman"/>
          <w:b/>
          <w:bCs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1. Утвердить прилагаемый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Порядок определения объема и условий предоставления субсидий на иные цели бюджетным и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автономным учреждениям,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подведомственным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комитету по физической культуре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и спорту администрации города Перми,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на государственную поддержку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организаций, входящих в систему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спортивной подготовки.</w:t>
      </w:r>
      <w:r>
        <w:rPr>
          <w:rFonts w:ascii="Times New Roman" w:hAnsi="Times New Roman" w:cs="Times New Roman"/>
          <w:b/>
          <w:bCs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highlight w:val="none"/>
          <w14:ligatures w14:val="none"/>
        </w:rPr>
      </w:r>
    </w:p>
    <w:p>
      <w:pPr>
        <w:pStyle w:val="983"/>
        <w:ind w:left="0" w:right="0" w:firstLine="720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Признать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утратившими силу: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en-US"/>
          <w14:ligatures w14:val="none"/>
        </w:rPr>
      </w:r>
    </w:p>
    <w:p>
      <w:pPr>
        <w:pStyle w:val="983"/>
        <w:ind w:left="0" w:right="0" w:firstLine="720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остановление администрации города Перми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от 29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февраля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2024 г. № 161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«Об утверждении Порядка определения объема и условий предоставления субсидий на иные цели бюджетным и автономным учреждениям, подведомственным комитету по физической культуре и спорту администрации города Перми, на государственную поддержку организаций, вх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одящих в систему спортивной подготовки»;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en-US"/>
          <w14:ligatures w14:val="none"/>
        </w:rPr>
      </w:r>
    </w:p>
    <w:p>
      <w:pPr>
        <w:pStyle w:val="983"/>
        <w:ind w:left="0" w:right="0" w:firstLine="720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пункт 11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постановления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администрации города Перми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о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т 13 декабря 2024 г. № 1223 «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 внесении изменений в отдельные правовые акты администрации города Перми по вопросам развития физической культуры и спорта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983"/>
        <w:ind w:left="0" w:right="0" w:firstLine="720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3. Настояще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3"/>
        <w:ind w:left="0" w:right="0" w:firstLine="720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Управлению по общим вопр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3"/>
        <w:ind w:left="0" w:right="0" w:firstLine="720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5" w:tooltip="&lt;div class=&quot;doc www&quot;&gt;&lt;span class=&quot;aligner&quot;&gt;&lt;div class=&quot;icon listDocWWW-16&quot;&gt;&lt;/div&gt;&lt;/span&gt;www.gorodperm.ru&lt;/div&gt;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Контроль 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исполнением настоящего постановления возложить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на заместителя главы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администрации города Перми Мальцеву Е.Д.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7088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 Перми </w:t>
      </w:r>
      <w:r>
        <w:rPr>
          <w:sz w:val="28"/>
          <w:szCs w:val="28"/>
        </w:rPr>
        <w:tab/>
        <w:t xml:space="preserve">             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5954"/>
        <w:spacing w:line="240" w:lineRule="exact"/>
        <w:rPr>
          <w:rFonts w:eastAsia="Calibri"/>
          <w:sz w:val="28"/>
          <w:szCs w:val="28"/>
          <w:lang w:eastAsia="en-US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708" w:equalWidth="1"/>
          <w:docGrid w:linePitch="360"/>
          <w:titlePg/>
        </w:sect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5954"/>
        <w:spacing w:line="240" w:lineRule="exact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УТВЕРЖДЕН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left="5954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постановлением администрации города Перми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5954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</w:t>
      </w:r>
      <w:r>
        <w:rPr>
          <w:rFonts w:eastAsia="Calibri"/>
          <w:sz w:val="28"/>
          <w:szCs w:val="28"/>
          <w:lang w:eastAsia="en-US"/>
        </w:rPr>
        <w:t xml:space="preserve"> 19.05.2026 № 287</w:t>
      </w:r>
      <w:r>
        <w:rPr>
          <w:rFonts w:eastAsia="Calibri"/>
          <w:sz w:val="28"/>
          <w:szCs w:val="28"/>
          <w:lang w:eastAsia="en-US"/>
        </w:rPr>
      </w:r>
    </w:p>
    <w:p>
      <w:pPr>
        <w:pStyle w:val="984"/>
        <w:contextualSpacing/>
        <w:jc w:val="center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4"/>
        <w:contextualSpacing/>
        <w:jc w:val="center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4"/>
        <w:contextualSpacing/>
        <w:jc w:val="center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4"/>
        <w:contextualSpacing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4"/>
        <w:contextualSpacing/>
        <w:jc w:val="center"/>
        <w:spacing w:line="240" w:lineRule="exact"/>
        <w:rPr>
          <w:rFonts w:ascii="Times New Roman" w:hAnsi="Times New Roman" w:cs="Times New Roman"/>
          <w:b/>
          <w:bCs/>
          <w:sz w:val="28"/>
          <w:szCs w:val="28"/>
          <w:lang w:eastAsia="en-US"/>
          <w14:ligatures w14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определения объема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условий предоставления субсидий на иные цели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муниципальным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бюджетным 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тономным 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чреждениям,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подведомственным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комитету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по физической культуре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и спорту администрации города Перми,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на государственную поддержку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организаций, входящих в систему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спортивной подготовки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  <w14:ligatures w14:val="none"/>
        </w:rPr>
      </w:r>
    </w:p>
    <w:p>
      <w:pPr>
        <w:pStyle w:val="924"/>
        <w:contextualSpacing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4"/>
        <w:contextualSpacing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Общие положения о предоставлении субсидий</w:t>
      </w:r>
      <w:r>
        <w:rPr>
          <w:rFonts w:ascii="Times New Roman" w:hAnsi="Times New Roman" w:cs="Times New Roman"/>
          <w:sz w:val="28"/>
          <w:szCs w:val="28"/>
        </w:rPr>
        <w:t xml:space="preserve"> на иные цели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4"/>
        <w:contextualSpacing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4"/>
        <w:ind w:left="0" w:right="0" w:firstLine="720"/>
        <w:jc w:val="both"/>
        <w:widowControl/>
        <w:rPr>
          <w:rFonts w:eastAsia="Calibri"/>
          <w:sz w:val="28"/>
          <w:szCs w:val="28"/>
          <w:lang w:eastAsia="en-US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Настоящий Порядок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определяет объем и условия предоставления субсидий на иные цели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бюджетным и </w:t>
      </w:r>
      <w:r>
        <w:rPr>
          <w:rFonts w:eastAsia="Calibri"/>
          <w:sz w:val="28"/>
          <w:szCs w:val="28"/>
          <w:lang w:eastAsia="en-US"/>
        </w:rPr>
        <w:t xml:space="preserve">автономным </w:t>
      </w:r>
      <w:r>
        <w:rPr>
          <w:rFonts w:eastAsia="Calibri"/>
          <w:sz w:val="28"/>
          <w:szCs w:val="28"/>
          <w:lang w:eastAsia="en-US"/>
        </w:rPr>
        <w:t xml:space="preserve">учреждениям </w:t>
      </w:r>
      <w:r>
        <w:rPr>
          <w:rFonts w:eastAsia="Calibri"/>
          <w:sz w:val="28"/>
          <w:szCs w:val="28"/>
          <w:lang w:eastAsia="en-US"/>
        </w:rPr>
        <w:t xml:space="preserve">на государственную поддержку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организаций, входящих в систему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спортивной подготовки</w:t>
      </w:r>
      <w:r>
        <w:rPr>
          <w:rFonts w:eastAsia="Calibri"/>
          <w:sz w:val="28"/>
          <w:szCs w:val="28"/>
          <w:lang w:eastAsia="en-US"/>
        </w:rPr>
        <w:t xml:space="preserve">, в отношении которых </w:t>
      </w:r>
      <w:r>
        <w:rPr>
          <w:rFonts w:eastAsia="Calibri"/>
          <w:sz w:val="28"/>
          <w:szCs w:val="28"/>
          <w:lang w:eastAsia="en-US"/>
        </w:rPr>
        <w:t xml:space="preserve">комитет по физической культуре и спорту</w:t>
      </w:r>
      <w:r>
        <w:rPr>
          <w:rFonts w:eastAsia="Calibri"/>
          <w:sz w:val="28"/>
          <w:szCs w:val="28"/>
          <w:lang w:eastAsia="en-US"/>
        </w:rPr>
        <w:t xml:space="preserve"> администрации города Перми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осуществляет функции </w:t>
      </w:r>
      <w:r>
        <w:rPr>
          <w:rFonts w:eastAsia="Calibri"/>
          <w:sz w:val="28"/>
          <w:szCs w:val="28"/>
          <w:lang w:eastAsia="en-US"/>
        </w:rPr>
        <w:t xml:space="preserve">и полномочия учредителя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(далее –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Порядок, </w:t>
      </w:r>
      <w:r>
        <w:rPr>
          <w:rFonts w:eastAsia="Calibri"/>
          <w:sz w:val="28"/>
          <w:szCs w:val="28"/>
          <w:lang w:eastAsia="en-US"/>
        </w:rPr>
        <w:t xml:space="preserve">субсидии на иные цели, Учреждения, </w:t>
      </w:r>
      <w:r>
        <w:rPr>
          <w:rFonts w:eastAsia="Calibri"/>
          <w:sz w:val="28"/>
          <w:szCs w:val="28"/>
          <w:lang w:eastAsia="en-US"/>
        </w:rPr>
        <w:t xml:space="preserve">К</w:t>
      </w:r>
      <w:r>
        <w:rPr>
          <w:rFonts w:eastAsia="Calibri"/>
          <w:sz w:val="28"/>
          <w:szCs w:val="28"/>
          <w:lang w:eastAsia="en-US"/>
        </w:rPr>
        <w:t xml:space="preserve">омитет</w:t>
      </w:r>
      <w:r>
        <w:rPr>
          <w:rFonts w:eastAsia="Calibri"/>
          <w:sz w:val="28"/>
          <w:szCs w:val="28"/>
          <w:lang w:eastAsia="en-US"/>
        </w:rPr>
        <w:t xml:space="preserve">).</w:t>
      </w:r>
      <w:r>
        <w:rPr>
          <w:rFonts w:eastAsia="Calibri"/>
          <w:sz w:val="28"/>
          <w:szCs w:val="28"/>
          <w:lang w:eastAsia="en-US"/>
          <w14:ligatures w14:val="none"/>
        </w:rPr>
      </w:r>
      <w:r>
        <w:rPr>
          <w:rFonts w:eastAsia="Calibri"/>
          <w:sz w:val="28"/>
          <w:szCs w:val="28"/>
          <w:lang w:eastAsia="en-US"/>
          <w14:ligatures w14:val="none"/>
        </w:rPr>
      </w:r>
    </w:p>
    <w:p>
      <w:pPr>
        <w:pStyle w:val="924"/>
        <w:ind w:left="0" w:right="0" w:firstLine="720"/>
        <w:jc w:val="both"/>
        <w:widowControl/>
        <w:rPr>
          <w:rFonts w:eastAsia="Calibri"/>
          <w:sz w:val="28"/>
          <w:szCs w:val="28"/>
          <w:lang w:eastAsia="en-US"/>
          <w14:ligatures w14:val="none"/>
        </w:rPr>
      </w:pPr>
      <w:r>
        <w:rPr>
          <w:rFonts w:eastAsia="Calibri"/>
          <w:sz w:val="28"/>
          <w:szCs w:val="28"/>
          <w:lang w:eastAsia="en-US"/>
        </w:rPr>
        <w:t xml:space="preserve">1.2. Целью предостав</w:t>
      </w:r>
      <w:r>
        <w:rPr>
          <w:rFonts w:eastAsia="Calibri"/>
          <w:sz w:val="28"/>
          <w:szCs w:val="28"/>
          <w:lang w:eastAsia="en-US"/>
        </w:rPr>
        <w:t xml:space="preserve">ления субсидий н</w:t>
      </w:r>
      <w:r>
        <w:rPr>
          <w:rFonts w:eastAsia="Calibri"/>
          <w:sz w:val="28"/>
          <w:szCs w:val="28"/>
          <w:lang w:eastAsia="en-US"/>
        </w:rPr>
        <w:t xml:space="preserve">а</w:t>
      </w:r>
      <w:r>
        <w:rPr>
          <w:rFonts w:eastAsia="Calibri"/>
          <w:sz w:val="28"/>
          <w:szCs w:val="28"/>
          <w:lang w:eastAsia="en-US"/>
        </w:rPr>
        <w:t xml:space="preserve"> иные цели является </w:t>
      </w:r>
      <w:r>
        <w:rPr>
          <w:rFonts w:eastAsia="Calibri"/>
          <w:sz w:val="28"/>
          <w:szCs w:val="28"/>
          <w:lang w:eastAsia="en-US"/>
        </w:rPr>
        <w:t xml:space="preserve">обеспечени</w:t>
      </w:r>
      <w:r>
        <w:rPr>
          <w:rFonts w:eastAsia="Calibri"/>
          <w:sz w:val="28"/>
          <w:szCs w:val="28"/>
          <w:lang w:eastAsia="en-US"/>
        </w:rPr>
        <w:t xml:space="preserve">е подготовки спортивного резерва для спортивных сборных команд, в том числе спортивных сборных команд </w:t>
      </w:r>
      <w:r>
        <w:rPr>
          <w:rFonts w:eastAsia="Calibri"/>
          <w:sz w:val="28"/>
          <w:szCs w:val="28"/>
          <w:lang w:eastAsia="en-US"/>
        </w:rPr>
        <w:t xml:space="preserve">города Перми, Пермского края, в соответствии  с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муниципальной программой «Раз</w:t>
      </w:r>
      <w:r>
        <w:rPr>
          <w:rFonts w:eastAsia="Calibri"/>
          <w:sz w:val="28"/>
          <w:szCs w:val="28"/>
          <w:lang w:eastAsia="en-US"/>
        </w:rPr>
        <w:t xml:space="preserve">витие физической культуры и спорта города Перми»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  <w14:ligatures w14:val="none"/>
        </w:rPr>
      </w:r>
      <w:r>
        <w:rPr>
          <w:rFonts w:eastAsia="Calibri"/>
          <w:sz w:val="28"/>
          <w:szCs w:val="28"/>
          <w:lang w:eastAsia="en-US"/>
          <w14:ligatures w14:val="none"/>
        </w:rPr>
      </w:r>
    </w:p>
    <w:p>
      <w:pPr>
        <w:pStyle w:val="924"/>
        <w:ind w:left="0" w:right="0" w:firstLine="720"/>
        <w:jc w:val="both"/>
        <w:widowControl/>
        <w:rPr>
          <w:rFonts w:eastAsia="Calibri"/>
          <w:sz w:val="28"/>
          <w:szCs w:val="28"/>
          <w:highlight w:val="none"/>
          <w:lang w:eastAsia="en-US"/>
          <w14:ligatures w14:val="none"/>
        </w:rPr>
      </w:pPr>
      <w:r>
        <w:rPr>
          <w:rFonts w:eastAsia="Calibri"/>
          <w:sz w:val="28"/>
          <w:szCs w:val="28"/>
          <w:lang w:eastAsia="en-US"/>
        </w:rPr>
        <w:t xml:space="preserve">1.3. Су</w:t>
      </w:r>
      <w:r>
        <w:rPr>
          <w:rFonts w:eastAsia="Calibri"/>
          <w:sz w:val="28"/>
          <w:szCs w:val="28"/>
          <w:lang w:eastAsia="en-US"/>
        </w:rPr>
        <w:t xml:space="preserve">бсидии на иные цели предоставляются Учреждениям в пределах бюджетных ассигнований,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у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твержденных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сводной бюджетной росписью города Перми на тек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ущий финансовый год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 рамках реализации мероприятий муниципальной программы «Раз</w:t>
      </w:r>
      <w:r>
        <w:rPr>
          <w:rFonts w:eastAsia="Calibri"/>
          <w:sz w:val="28"/>
          <w:szCs w:val="28"/>
          <w:lang w:eastAsia="en-US"/>
        </w:rPr>
        <w:t xml:space="preserve">витие физической культуры и спорта города Перми» </w:t>
      </w:r>
      <w:r>
        <w:rPr>
          <w:rFonts w:eastAsia="Calibri"/>
          <w:sz w:val="28"/>
          <w:szCs w:val="28"/>
          <w:lang w:eastAsia="en-US"/>
        </w:rPr>
        <w:t xml:space="preserve">по следующим направлениям расходов: </w:t>
      </w:r>
      <w:r>
        <w:rPr>
          <w:rFonts w:eastAsia="Calibri"/>
          <w:sz w:val="28"/>
          <w:szCs w:val="28"/>
          <w:lang w:eastAsia="en-US"/>
        </w:rPr>
        <w:t xml:space="preserve">реализация дополнительных образовательных про</w:t>
      </w:r>
      <w:r>
        <w:rPr>
          <w:rFonts w:eastAsia="Calibri"/>
          <w:sz w:val="28"/>
          <w:szCs w:val="28"/>
          <w:lang w:eastAsia="en-US"/>
        </w:rPr>
        <w:t xml:space="preserve">г</w:t>
      </w:r>
      <w:r>
        <w:rPr>
          <w:rFonts w:eastAsia="Calibri"/>
          <w:sz w:val="28"/>
          <w:szCs w:val="28"/>
          <w:lang w:eastAsia="en-US"/>
        </w:rPr>
        <w:t xml:space="preserve">рамм спортивной подготовки в соответствии с федеральными стандартами спортивной подготовки по базовым олимпийским, паралимпийским и сурдлимпийским видам спорта согласно перечню базовых видов спорта, утвержденному Министерством спорта Российской Федерации; </w:t>
      </w:r>
      <w:r>
        <w:rPr>
          <w:rFonts w:eastAsia="Calibri"/>
          <w:sz w:val="28"/>
          <w:szCs w:val="28"/>
          <w:lang w:eastAsia="en-US"/>
        </w:rPr>
        <w:t xml:space="preserve">повышение квалификации и переподготовка специалистов в сфере физической культуры и спорта;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приобретение автомобилей, не являющихся легковыми, массой более 3500 кг и с числом посадочных мест </w:t>
        <w:br/>
        <w:t xml:space="preserve">(без учета водительского места) более 8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highlight w:val="none"/>
          <w:lang w:eastAsia="en-US"/>
          <w14:ligatures w14:val="none"/>
        </w:rPr>
      </w:r>
      <w:r>
        <w:rPr>
          <w:rFonts w:eastAsia="Calibri"/>
          <w:sz w:val="28"/>
          <w:szCs w:val="28"/>
          <w:highlight w:val="none"/>
          <w:lang w:eastAsia="en-US"/>
          <w14:ligatures w14:val="none"/>
        </w:rPr>
      </w:r>
    </w:p>
    <w:p>
      <w:pPr>
        <w:pStyle w:val="924"/>
        <w:ind w:left="0" w:right="0" w:firstLine="0"/>
        <w:jc w:val="both"/>
        <w:widowControl/>
        <w:rPr>
          <w:rFonts w:eastAsia="Calibri"/>
          <w:sz w:val="28"/>
          <w:szCs w:val="28"/>
          <w:lang w:eastAsia="en-US"/>
          <w14:ligatures w14:val="none"/>
        </w:rPr>
      </w:pPr>
      <w:r>
        <w:rPr>
          <w:rFonts w:eastAsia="Calibri"/>
          <w:sz w:val="28"/>
          <w:szCs w:val="28"/>
          <w:highlight w:val="none"/>
          <w:lang w:eastAsia="en-US"/>
          <w14:ligatures w14:val="none"/>
        </w:rPr>
      </w:r>
      <w:r>
        <w:rPr>
          <w:rFonts w:eastAsia="Calibri"/>
          <w:sz w:val="28"/>
          <w:szCs w:val="28"/>
          <w:lang w:eastAsia="en-US"/>
          <w14:ligatures w14:val="none"/>
        </w:rPr>
      </w:r>
      <w:r>
        <w:rPr>
          <w:rFonts w:eastAsia="Calibri"/>
          <w:sz w:val="28"/>
          <w:szCs w:val="28"/>
          <w:lang w:eastAsia="en-US"/>
          <w14:ligatures w14:val="none"/>
        </w:rPr>
      </w:r>
    </w:p>
    <w:p>
      <w:pPr>
        <w:pStyle w:val="984"/>
        <w:jc w:val="center"/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. Условия и порядок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субсид</w:t>
      </w:r>
      <w:r>
        <w:rPr>
          <w:rFonts w:ascii="Times New Roman" w:hAnsi="Times New Roman" w:cs="Times New Roman"/>
          <w:sz w:val="28"/>
          <w:szCs w:val="28"/>
        </w:rPr>
        <w:t xml:space="preserve">ий на иные цели</w:t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Style w:val="984"/>
        <w:jc w:val="left"/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left="0" w:right="0"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2.1. Для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получения субсидий на иные цели Учреждения представляют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бумажном носителе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омитет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eastAsia="Calibri"/>
          <w:sz w:val="28"/>
          <w:szCs w:val="28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пояснительную записку, содержащую обоснование необходимости предоставления субсидий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иные цели с приложением </w:t>
      </w:r>
      <w:r>
        <w:rPr>
          <w:rFonts w:eastAsia="Calibri"/>
          <w:sz w:val="28"/>
          <w:szCs w:val="28"/>
          <w:lang w:eastAsia="en-US"/>
        </w:rPr>
        <w:t xml:space="preserve">дополнительных образовательных про</w:t>
      </w:r>
      <w:r>
        <w:rPr>
          <w:rFonts w:eastAsia="Calibri"/>
          <w:sz w:val="28"/>
          <w:szCs w:val="28"/>
          <w:lang w:eastAsia="en-US"/>
        </w:rPr>
        <w:t xml:space="preserve">г</w:t>
      </w:r>
      <w:r>
        <w:rPr>
          <w:rFonts w:eastAsia="Calibri"/>
          <w:sz w:val="28"/>
          <w:szCs w:val="28"/>
          <w:lang w:eastAsia="en-US"/>
        </w:rPr>
        <w:t xml:space="preserve">рамм спортивной подготовки в соответствии с федеральными стандартами спортивной подготовки по базовым олимпийским, паралимпийским и сурдлимпийским видам спорт</w:t>
      </w:r>
      <w:r>
        <w:rPr>
          <w:rFonts w:eastAsia="Calibri"/>
          <w:sz w:val="28"/>
          <w:szCs w:val="28"/>
          <w:lang w:eastAsia="en-US"/>
        </w:rPr>
        <w:t xml:space="preserve">а согласно перечню базовых видов спорта, утвержденному Министерством спорта Российской Федерации;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информацию о планируемом к приобре</w:t>
      </w:r>
      <w:r>
        <w:rPr>
          <w:rFonts w:eastAsia="Calibri"/>
          <w:sz w:val="28"/>
          <w:szCs w:val="28"/>
          <w:lang w:eastAsia="en-US"/>
        </w:rPr>
        <w:t xml:space="preserve">тению имуществе, в случае если целью предоставления субсидии является приобретение имущества;</w:t>
      </w:r>
      <w:r>
        <w:rPr>
          <w:rFonts w:eastAsia="Calibri"/>
          <w:sz w:val="28"/>
          <w:szCs w:val="28"/>
          <w:lang w:eastAsia="en-US"/>
          <w14:ligatures w14:val="none"/>
        </w:rPr>
      </w:r>
      <w:r>
        <w:rPr>
          <w:rFonts w:eastAsia="Calibri"/>
          <w:sz w:val="28"/>
          <w:szCs w:val="28"/>
          <w:lang w:eastAsia="en-US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  <w:t xml:space="preserve">сметные расчеты, </w:t>
      </w:r>
      <w:r>
        <w:rPr>
          <w:rFonts w:eastAsia="Calibri"/>
          <w:sz w:val="28"/>
          <w:szCs w:val="28"/>
          <w:lang w:eastAsia="en-US"/>
        </w:rPr>
        <w:t xml:space="preserve">прайс-листы, коммерческие предложения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 приложением не менее 3 ценовых информаций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eastAsia="Calibri"/>
          <w:sz w:val="28"/>
          <w:szCs w:val="28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план мероприятий по достижению результатов предоставления субсидии;</w:t>
      </w:r>
      <w:r>
        <w:rPr>
          <w:rFonts w:eastAsia="Calibri"/>
          <w:sz w:val="28"/>
          <w:szCs w:val="28"/>
          <w:lang w:eastAsia="en-US"/>
          <w14:ligatures w14:val="none"/>
        </w:rPr>
      </w:r>
      <w:r>
        <w:rPr>
          <w:rFonts w:eastAsia="Calibri"/>
          <w:sz w:val="28"/>
          <w:szCs w:val="28"/>
          <w:lang w:eastAsia="en-US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докуме</w:t>
      </w:r>
      <w:r>
        <w:rPr>
          <w:rFonts w:eastAsia="Calibri"/>
          <w:sz w:val="28"/>
          <w:szCs w:val="28"/>
          <w:lang w:eastAsia="en-US"/>
        </w:rPr>
        <w:t xml:space="preserve">нты, подтверждающие отсутствие у Учреждений задолженнос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 уплате налогов, сборов и иных обязательных платежей в бюджеты бюджетной системы Российской Федерации.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дату подачи документов, указанных в </w:t>
      </w:r>
      <w:hyperlink w:tooltip="2.1. Для получения субсидий на иные цели Учреждения направляют в Комитет:" w:anchor="P78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пункте 2.1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Порядка,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Учреждения должны соответствовать следующим требованиям: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отсутствие неисполненной обязанности по уплате налогов, сборов, страховых взносов, пеней, штрафов, процентов, подлежащих уплате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соответствии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 законодательством Российской Федерации о налогах и сборах;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отсутствие просроченной задолженности по возврату в бюджет города Перми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города Перми.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2.3. Рассмотрение и проверка документов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предусмо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тренных пунктом 2.1 настоящего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орядка,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осуществляются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омитетом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 течение 10 рабочих дней с даты их представления.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2.4. Основания для отказа Учреждениям в предоставлении субсидий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иные цели: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несоответствие представленных Учреждениями документов требованиям, определенным в соответствии с пунктом 2.1 настоящего Порядка, или непредставление (представление не в полном объеме) указанных документов;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недостоверность информации, содержащейся в документах, представленных Учреждениями в соответствии с пунктом 2.1 настоящего Порядка.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2.5. В случае принятия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Комитетом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решения об отказе в предоставлении субсидий на иные цели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омитет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уведомляет Учреждение о принятом решении. Учреждение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вправе повторно представить в Комитет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доку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менты, указанные </w:t>
        <w:br/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пункте 2.1 настоящего Порядка.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72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2.6. Разм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ер субсидий на иные цели определяется 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новании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сметных расчетов,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прайс-листов, коммерческих предложений с приложением не менее 3 ценовых информаций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2.7.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 Объем расходов по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чреждениям определяется на основании </w:t>
      </w:r>
      <w:hyperlink r:id="rId16" w:tooltip="https://login.consultant.ru/link/?req=doc&amp;base=RLAW368&amp;n=205128&amp;date=09.02.2026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lang w:eastAsia="en-US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 Правительства Пермского края, утверждающего распределение субсидий из бюджета Пермского края с участием средств федерального бюджета бюджетам муниципальных образований Пермского края на софинансирование мероприятий по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государственной поддержке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организаций, входящих в систему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спортивной подготовки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2.8. Субсидии на иные цели предоставляются в соответствии с соглашением о предоставлении субсидии из бюджета города Перми (далее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Соглашение), заключенным между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омитето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 и Учреждением по типовой форме,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утвержденно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приказом Министерства финансов Российской Федерации от 22 июля 2022 г. </w:t>
        <w:br/>
        <w:t xml:space="preserve">№ 114н «Об утверждении Типовой формы соглашения о предоставлении федеральному бюджетному или автономному учреждению субсидии в соответствии с абзацем вторым пункта 1 статьи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78.1 Бюджетного кодекса Российской Федерации»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(далее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типовая форма)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2.9.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Заключение Соглашения на текущий финансовый год осуществляется Комитетом не позднее 30 рабочих дней со дня перечисления межбюджетных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трансфертов из бюджета Пермского края в бюджет города Перми.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2.10. Условиями заключения Соглашения являются: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соответствие Учреждений требованиям, установленным пунктом 2.2 настоящего Порядка;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наличие бюджет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ных ассигнований и лимитов бюджетных обязательств на текущий финансовый год за счет средств бюджета Российской Федерации, средств бюджета Пермского края и средств бюджета города Перми в муниципальной программе «Развитие физической культуры и спорта города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случаях, установленных Соглашением, заключаются дополнительные соглашения, предусматривающие внесение в него изменений или его расторжение, в соответствии с типовой формой.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внесении изменений в настоящий Порядок, муниципальную программу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Развитие физической культуры и спорта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», сводную бюджетную роспись, требующих внесения изменений в Соглашение, дополнительные соглашения заключаются в течение 10 рабочих дней со дня вступления в силу изменений в указанные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документы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правовые акты. </w:t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2.11. Субсидии на иные цели перечисляются Учреждениям в сроки, установленные Соглашением. Периодичность перечислени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субсидий на иные цели – </w:t>
        <w:br/>
        <w:t xml:space="preserve">в течение финансового года после представления документов, подтверждающих возникновение денежных обязательств.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left="0" w:right="0"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2.12. Ведение бухгалтерского учета по предоставленным субсидиям на иные цели осуществляется с применением аналитических кодов счетов бухгалтерского учета.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2.13. Субсидии на иные цели Учреждениям предоставляются путем перечисления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омитето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 денежных средств на отдельные лицевые счета Учреждений, открытые в департаменте финансов администрации города Перми в установленном порядке.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2.14. Средства, предоставляемые Учреждениям в виде субсидий на иные цели, расходуются в соответствии с их целевым назначением и не могут быть направлены на другие цели.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2.15. Результатом предоставления субсидий является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организаций,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вход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ящих в систему спортивной подготовки, которыми реализованы мероприятия по обеспечению условий для подготовки спортивного резерва (единиц)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2.16.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достижения результата предоставления субсидий на иные цели Соглашением устанавливается план мероприятий по достижению результата предоставления субсидий на иные цели.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83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83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III. Требования к отчетности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>
        <w:rPr>
          <w:sz w:val="28"/>
          <w:szCs w:val="28"/>
        </w:rPr>
        <w:t xml:space="preserve">Учреждени</w:t>
      </w:r>
      <w:r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по форме, установленной в Соглашениях</w:t>
      </w:r>
      <w:r>
        <w:rPr>
          <w:sz w:val="28"/>
          <w:szCs w:val="28"/>
        </w:rPr>
        <w:t xml:space="preserve">,</w:t>
      </w:r>
      <w:r>
        <w:rPr>
          <w:sz w:val="24"/>
        </w:rPr>
        <w:t xml:space="preserve"> </w:t>
      </w:r>
      <w:r>
        <w:rPr>
          <w:sz w:val="28"/>
          <w:szCs w:val="28"/>
        </w:rPr>
        <w:t xml:space="preserve">представляют </w:t>
        <w:br/>
        <w:t xml:space="preserve">в К</w:t>
      </w:r>
      <w:r>
        <w:rPr>
          <w:sz w:val="28"/>
          <w:szCs w:val="28"/>
        </w:rPr>
        <w:t xml:space="preserve">омитет в установленные настоящим Порядком сроки следующую отчетность (далее – Отчеты):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отчет о расходах, источником финансового обеспечения которых являются субсидии на иные цели, ежегодно не позднее 15 рабочего дня месяца, следующего за отчетным годом;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отчет о достижении значений результатов предоставления субсидий на иные цели </w:t>
      </w:r>
      <w:r>
        <w:rPr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ежегодно не позднее 15 рабочего дня месяца, следующего за отчетным годом;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отчет о реализации плана мероприятий по достижению результатов предоставления субсидий на иные цели </w:t>
      </w:r>
      <w:r>
        <w:rPr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ежеквартально не позднее 5 календарного дня месяца, следующего за отчетным кварталом, а также не позднее 10 рабочего дня после достижения конечного значен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ия результата предоставления субсидий на иные цели.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 Ответственность за своевременность представления Отчетов и достоверность отчетных данных возлагается на руководителя Учреждения.</w:t>
      </w: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ind w:firstLine="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IV. Порядок осуществления контроля за соблюдением целей, условий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порядка предоставления субсидий на иные цели и ответственность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за их несоблюдение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4.1. Комитет и орган муниципального финансового контроля осуществляют обязательную проверку соблюдения целей и условий предоставления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Учреждениям субсидий на иные цели.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Комитет проводит мониторинг достижения значений результатов предоставления субсидий на иные цели, определенных Соглашением, и событий, отражающих факт завершения соответствующего мероприятия по получению результата предоставления субсидий на иные цели (кон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трольная точка), в порядке и по формам, установленным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hyperlink r:id="rId17" w:tooltip="https://login.consultant.ru/link/?req=doc&amp;base=LAW&amp;n=480322&amp;dst=100011&amp;field=134&amp;date=17.03.2026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Порядком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</w:t>
      </w:r>
      <w:r>
        <w:rPr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производителям товаров, раб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от, услуг, утвержденным приказом Министерства финансов Российской Федерации </w:t>
        <w:br/>
        <w:t xml:space="preserve">от 27 апреля 2024 г. № 53н.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4.2. Учреждения несут ответственность за несоблюдение целей и условий предоставления субсидий на иные цели, установленных настоящим Порядком.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4.3. В случае несоблюдения Учреждениями целей и условий, установленных при предоставлении субсидий на иные цели, выявленного по результатам проверок, проведенных Комитетом и органом муниципального финансового контроля, данные средства подлежат возврату в 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юджет города Перми в следующие сроки: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основании требования Комитета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течение 30 календарных дней со дня получения Учреждениями соответствующего требования;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основании представления и (или) предписания органа муниципального финансового контроля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срок, установленный в соответствии с бюджетным законодательством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невыполнения Учреждениями требований о возврате субсидий на иные цели Комитет обеспечивает взыскание субсидий в судебном порядке в соответствии с действующим законодательством.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4.4. В случае недостижения результата предоставления субсидий на иные цели, установленного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пунктом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Порядка, субсидии на иные цели подлежат возврату в доход бюджета в течение 25 рабочих дней со дня выявления указанного недостижения.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4.5.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Неиспользованные остатки субсидий на иные цели, в отношении которых не принято решение о направлении их на те же цели в текущем финансовом году, источником финансового обеспечения которых являются средства федерального бюджета, бюджета Пермского края, подл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ежат возврату в бюджет города Перми, с последующим возвратом в установленном порядке в федеральный бюджет, бюджет Пермского края, не позднее первых 15 рабочих дней текущего финансового года.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4.6. В случае поступления средств от возврата ранее произведенных Учреждениями выплат, источником финансового обеспечения которых являются субсидии на иные цели, для достижения целей, установленных при предоставлении субсидий на иные цели, Комитет в течени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30 рабочих дней с даты их поступления в Учреждения принимает решение путем издания приказа об использовании в те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кущем финансовом году указанных средств.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color w:val="ff0000"/>
          <w:sz w:val="28"/>
          <w:szCs w:val="28"/>
          <w:highlight w:val="yellow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ешение Комитета об использовании в текущем финансовом году указанных средств принимается при наличии потребности Учреждений по итогам рассмотрения запросов, представленных Учреждениями в Комитет в течение 20 рабочих дней с даты поступления средств в Учреж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дения и отражающих необходимость их использования в текущем финансовом году, с приложением документов (копий документов), подтверждающих наличие и объем неисполненных обязательств, принятых до начала текущего финансового года либо подлежащих принятию в те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кущем финансовом году.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yellow"/>
          <w14:ligatures w14:val="none"/>
        </w:rPr>
      </w:r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yellow"/>
          <w14:ligatures w14:val="none"/>
        </w:rPr>
      </w:r>
    </w:p>
    <w:p>
      <w:pPr>
        <w:shd w:val="nil" w:color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rPr>
        <w:rStyle w:val="898"/>
      </w:rPr>
      <w:framePr w:wrap="around" w:vAnchor="text" w:hAnchor="margin" w:xAlign="center" w:y="1"/>
    </w:pPr>
    <w:r>
      <w:rPr>
        <w:rStyle w:val="898"/>
      </w:rPr>
      <w:fldChar w:fldCharType="begin"/>
    </w:r>
    <w:r>
      <w:rPr>
        <w:rStyle w:val="898"/>
      </w:rPr>
      <w:instrText xml:space="preserve">PAGE  </w:instrText>
    </w:r>
    <w:r>
      <w:rPr>
        <w:rStyle w:val="898"/>
      </w:rPr>
      <w:fldChar w:fldCharType="end"/>
    </w:r>
    <w:r>
      <w:rPr>
        <w:rStyle w:val="898"/>
      </w:rPr>
    </w:r>
    <w:r>
      <w:rPr>
        <w:rStyle w:val="898"/>
      </w:rPr>
    </w:r>
  </w:p>
  <w:p>
    <w:pPr>
      <w:pStyle w:val="89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Times New Roman" w:hAnsi="Times New Roman" w:eastAsia="Times New Roman" w:cs="Times New Roman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Heading 1 Char"/>
    <w:basedOn w:val="891"/>
    <w:link w:val="889"/>
    <w:uiPriority w:val="9"/>
    <w:rPr>
      <w:rFonts w:ascii="Arial" w:hAnsi="Arial" w:eastAsia="Arial" w:cs="Arial"/>
      <w:sz w:val="40"/>
      <w:szCs w:val="40"/>
    </w:rPr>
  </w:style>
  <w:style w:type="character" w:styleId="720">
    <w:name w:val="Heading 2 Char"/>
    <w:basedOn w:val="891"/>
    <w:link w:val="890"/>
    <w:uiPriority w:val="9"/>
    <w:rPr>
      <w:rFonts w:ascii="Arial" w:hAnsi="Arial" w:eastAsia="Arial" w:cs="Arial"/>
      <w:sz w:val="34"/>
    </w:rPr>
  </w:style>
  <w:style w:type="paragraph" w:styleId="721">
    <w:name w:val="Heading 3"/>
    <w:basedOn w:val="888"/>
    <w:next w:val="888"/>
    <w:link w:val="7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2">
    <w:name w:val="Heading 3 Char"/>
    <w:basedOn w:val="891"/>
    <w:link w:val="721"/>
    <w:uiPriority w:val="9"/>
    <w:rPr>
      <w:rFonts w:ascii="Arial" w:hAnsi="Arial" w:eastAsia="Arial" w:cs="Arial"/>
      <w:sz w:val="30"/>
      <w:szCs w:val="30"/>
    </w:rPr>
  </w:style>
  <w:style w:type="paragraph" w:styleId="723">
    <w:name w:val="Heading 4"/>
    <w:basedOn w:val="888"/>
    <w:next w:val="888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4">
    <w:name w:val="Heading 4 Char"/>
    <w:basedOn w:val="891"/>
    <w:link w:val="723"/>
    <w:uiPriority w:val="9"/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basedOn w:val="888"/>
    <w:next w:val="888"/>
    <w:link w:val="7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6">
    <w:name w:val="Heading 5 Char"/>
    <w:basedOn w:val="891"/>
    <w:link w:val="725"/>
    <w:uiPriority w:val="9"/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888"/>
    <w:next w:val="888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8">
    <w:name w:val="Heading 6 Char"/>
    <w:basedOn w:val="891"/>
    <w:link w:val="727"/>
    <w:uiPriority w:val="9"/>
    <w:rPr>
      <w:rFonts w:ascii="Arial" w:hAnsi="Arial" w:eastAsia="Arial" w:cs="Arial"/>
      <w:b/>
      <w:bCs/>
      <w:sz w:val="22"/>
      <w:szCs w:val="22"/>
    </w:rPr>
  </w:style>
  <w:style w:type="paragraph" w:styleId="729">
    <w:name w:val="Heading 7"/>
    <w:basedOn w:val="888"/>
    <w:next w:val="888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0">
    <w:name w:val="Heading 7 Char"/>
    <w:basedOn w:val="891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888"/>
    <w:next w:val="888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2">
    <w:name w:val="Heading 8 Char"/>
    <w:basedOn w:val="891"/>
    <w:link w:val="731"/>
    <w:uiPriority w:val="9"/>
    <w:rPr>
      <w:rFonts w:ascii="Arial" w:hAnsi="Arial" w:eastAsia="Arial" w:cs="Arial"/>
      <w:i/>
      <w:iCs/>
      <w:sz w:val="22"/>
      <w:szCs w:val="22"/>
    </w:rPr>
  </w:style>
  <w:style w:type="paragraph" w:styleId="733">
    <w:name w:val="Heading 9"/>
    <w:basedOn w:val="888"/>
    <w:next w:val="888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>
    <w:name w:val="Heading 9 Char"/>
    <w:basedOn w:val="891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Title"/>
    <w:basedOn w:val="888"/>
    <w:next w:val="888"/>
    <w:link w:val="7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6">
    <w:name w:val="Title Char"/>
    <w:basedOn w:val="891"/>
    <w:link w:val="735"/>
    <w:uiPriority w:val="10"/>
    <w:rPr>
      <w:sz w:val="48"/>
      <w:szCs w:val="48"/>
    </w:rPr>
  </w:style>
  <w:style w:type="paragraph" w:styleId="737">
    <w:name w:val="Subtitle"/>
    <w:basedOn w:val="888"/>
    <w:next w:val="888"/>
    <w:link w:val="738"/>
    <w:uiPriority w:val="11"/>
    <w:qFormat/>
    <w:pPr>
      <w:spacing w:before="200" w:after="200"/>
    </w:pPr>
    <w:rPr>
      <w:sz w:val="24"/>
      <w:szCs w:val="24"/>
    </w:rPr>
  </w:style>
  <w:style w:type="character" w:styleId="738">
    <w:name w:val="Subtitle Char"/>
    <w:basedOn w:val="891"/>
    <w:link w:val="737"/>
    <w:uiPriority w:val="11"/>
    <w:rPr>
      <w:sz w:val="24"/>
      <w:szCs w:val="24"/>
    </w:rPr>
  </w:style>
  <w:style w:type="paragraph" w:styleId="739">
    <w:name w:val="Quote"/>
    <w:basedOn w:val="888"/>
    <w:next w:val="888"/>
    <w:link w:val="740"/>
    <w:uiPriority w:val="29"/>
    <w:qFormat/>
    <w:pPr>
      <w:ind w:left="720" w:right="720"/>
    </w:pPr>
    <w:rPr>
      <w:i/>
    </w:rPr>
  </w:style>
  <w:style w:type="character" w:styleId="740">
    <w:name w:val="Quote Char"/>
    <w:link w:val="739"/>
    <w:uiPriority w:val="29"/>
    <w:rPr>
      <w:i/>
    </w:rPr>
  </w:style>
  <w:style w:type="paragraph" w:styleId="741">
    <w:name w:val="Intense Quote"/>
    <w:basedOn w:val="888"/>
    <w:next w:val="888"/>
    <w:link w:val="7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>
    <w:name w:val="Intense Quote Char"/>
    <w:link w:val="741"/>
    <w:uiPriority w:val="30"/>
    <w:rPr>
      <w:i/>
    </w:rPr>
  </w:style>
  <w:style w:type="character" w:styleId="743">
    <w:name w:val="Header Char"/>
    <w:basedOn w:val="891"/>
    <w:link w:val="899"/>
    <w:uiPriority w:val="99"/>
  </w:style>
  <w:style w:type="character" w:styleId="744">
    <w:name w:val="Footer Char"/>
    <w:basedOn w:val="891"/>
    <w:link w:val="897"/>
    <w:uiPriority w:val="99"/>
  </w:style>
  <w:style w:type="character" w:styleId="745">
    <w:name w:val="Caption Char"/>
    <w:basedOn w:val="891"/>
    <w:link w:val="894"/>
    <w:uiPriority w:val="35"/>
    <w:rPr>
      <w:b/>
      <w:bCs/>
      <w:color w:val="4f81bd" w:themeColor="accent1"/>
      <w:sz w:val="18"/>
      <w:szCs w:val="18"/>
    </w:rPr>
  </w:style>
  <w:style w:type="table" w:styleId="746">
    <w:name w:val="Table Grid Light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4 - Accent 1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5">
    <w:name w:val="Grid Table 4 - Accent 2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Grid Table 4 - Accent 3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7">
    <w:name w:val="Grid Table 4 - Accent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Grid Table 4 - Accent 5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9">
    <w:name w:val="Grid Table 4 - Accent 6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0">
    <w:name w:val="Grid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7">
    <w:name w:val="Grid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8">
    <w:name w:val="Grid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9">
    <w:name w:val="Grid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0">
    <w:name w:val="Grid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1">
    <w:name w:val="Grid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2">
    <w:name w:val="Grid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9">
    <w:name w:val="List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0">
    <w:name w:val="List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1">
    <w:name w:val="List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2">
    <w:name w:val="List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3">
    <w:name w:val="List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4">
    <w:name w:val="List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7">
    <w:name w:val="List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8">
    <w:name w:val="List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List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0">
    <w:name w:val="List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List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2">
    <w:name w:val="List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3">
    <w:name w:val="List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4">
    <w:name w:val="List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5">
    <w:name w:val="List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6">
    <w:name w:val="List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7">
    <w:name w:val="List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8">
    <w:name w:val="List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9">
    <w:name w:val="List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0">
    <w:name w:val="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2">
    <w:name w:val="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3">
    <w:name w:val="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4">
    <w:name w:val="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5">
    <w:name w:val="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6">
    <w:name w:val="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7">
    <w:name w:val="Bordered &amp; 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Bordered &amp; 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9">
    <w:name w:val="Bordered &amp; 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0">
    <w:name w:val="Bordered &amp; 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1">
    <w:name w:val="Bordered &amp; 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2">
    <w:name w:val="Bordered &amp; 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3">
    <w:name w:val="Bordered &amp; 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4">
    <w:name w:val="Bordered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5">
    <w:name w:val="Bordered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6">
    <w:name w:val="Bordered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7">
    <w:name w:val="Bordered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8">
    <w:name w:val="Bordered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9">
    <w:name w:val="Bordered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0">
    <w:name w:val="Bordered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1">
    <w:name w:val="footnote text"/>
    <w:basedOn w:val="888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>
    <w:name w:val="Footnote Text Char"/>
    <w:link w:val="871"/>
    <w:uiPriority w:val="99"/>
    <w:rPr>
      <w:sz w:val="18"/>
    </w:rPr>
  </w:style>
  <w:style w:type="character" w:styleId="873">
    <w:name w:val="footnote reference"/>
    <w:basedOn w:val="891"/>
    <w:uiPriority w:val="99"/>
    <w:unhideWhenUsed/>
    <w:rPr>
      <w:vertAlign w:val="superscript"/>
    </w:rPr>
  </w:style>
  <w:style w:type="paragraph" w:styleId="874">
    <w:name w:val="endnote text"/>
    <w:basedOn w:val="888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>
    <w:name w:val="Endnote Text Char"/>
    <w:link w:val="874"/>
    <w:uiPriority w:val="99"/>
    <w:rPr>
      <w:sz w:val="20"/>
    </w:rPr>
  </w:style>
  <w:style w:type="character" w:styleId="876">
    <w:name w:val="endnote reference"/>
    <w:basedOn w:val="891"/>
    <w:uiPriority w:val="99"/>
    <w:semiHidden/>
    <w:unhideWhenUsed/>
    <w:rPr>
      <w:vertAlign w:val="superscript"/>
    </w:rPr>
  </w:style>
  <w:style w:type="paragraph" w:styleId="877">
    <w:name w:val="toc 1"/>
    <w:basedOn w:val="888"/>
    <w:next w:val="888"/>
    <w:uiPriority w:val="39"/>
    <w:unhideWhenUsed/>
    <w:pPr>
      <w:ind w:left="0" w:right="0" w:firstLine="0"/>
      <w:spacing w:after="57"/>
    </w:pPr>
  </w:style>
  <w:style w:type="paragraph" w:styleId="878">
    <w:name w:val="toc 2"/>
    <w:basedOn w:val="888"/>
    <w:next w:val="888"/>
    <w:uiPriority w:val="39"/>
    <w:unhideWhenUsed/>
    <w:pPr>
      <w:ind w:left="283" w:right="0" w:firstLine="0"/>
      <w:spacing w:after="57"/>
    </w:pPr>
  </w:style>
  <w:style w:type="paragraph" w:styleId="879">
    <w:name w:val="toc 3"/>
    <w:basedOn w:val="888"/>
    <w:next w:val="888"/>
    <w:uiPriority w:val="39"/>
    <w:unhideWhenUsed/>
    <w:pPr>
      <w:ind w:left="567" w:right="0" w:firstLine="0"/>
      <w:spacing w:after="57"/>
    </w:pPr>
  </w:style>
  <w:style w:type="paragraph" w:styleId="880">
    <w:name w:val="toc 4"/>
    <w:basedOn w:val="888"/>
    <w:next w:val="888"/>
    <w:uiPriority w:val="39"/>
    <w:unhideWhenUsed/>
    <w:pPr>
      <w:ind w:left="850" w:right="0" w:firstLine="0"/>
      <w:spacing w:after="57"/>
    </w:pPr>
  </w:style>
  <w:style w:type="paragraph" w:styleId="881">
    <w:name w:val="toc 5"/>
    <w:basedOn w:val="888"/>
    <w:next w:val="888"/>
    <w:uiPriority w:val="39"/>
    <w:unhideWhenUsed/>
    <w:pPr>
      <w:ind w:left="1134" w:right="0" w:firstLine="0"/>
      <w:spacing w:after="57"/>
    </w:pPr>
  </w:style>
  <w:style w:type="paragraph" w:styleId="882">
    <w:name w:val="toc 6"/>
    <w:basedOn w:val="888"/>
    <w:next w:val="888"/>
    <w:uiPriority w:val="39"/>
    <w:unhideWhenUsed/>
    <w:pPr>
      <w:ind w:left="1417" w:right="0" w:firstLine="0"/>
      <w:spacing w:after="57"/>
    </w:pPr>
  </w:style>
  <w:style w:type="paragraph" w:styleId="883">
    <w:name w:val="toc 7"/>
    <w:basedOn w:val="888"/>
    <w:next w:val="888"/>
    <w:uiPriority w:val="39"/>
    <w:unhideWhenUsed/>
    <w:pPr>
      <w:ind w:left="1701" w:right="0" w:firstLine="0"/>
      <w:spacing w:after="57"/>
    </w:pPr>
  </w:style>
  <w:style w:type="paragraph" w:styleId="884">
    <w:name w:val="toc 8"/>
    <w:basedOn w:val="888"/>
    <w:next w:val="888"/>
    <w:uiPriority w:val="39"/>
    <w:unhideWhenUsed/>
    <w:pPr>
      <w:ind w:left="1984" w:right="0" w:firstLine="0"/>
      <w:spacing w:after="57"/>
    </w:pPr>
  </w:style>
  <w:style w:type="paragraph" w:styleId="885">
    <w:name w:val="toc 9"/>
    <w:basedOn w:val="888"/>
    <w:next w:val="888"/>
    <w:uiPriority w:val="39"/>
    <w:unhideWhenUsed/>
    <w:pPr>
      <w:ind w:left="2268" w:right="0" w:firstLine="0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888"/>
    <w:next w:val="888"/>
    <w:uiPriority w:val="99"/>
    <w:unhideWhenUsed/>
    <w:pPr>
      <w:spacing w:after="0" w:afterAutospacing="0"/>
    </w:pPr>
  </w:style>
  <w:style w:type="paragraph" w:styleId="888" w:default="1">
    <w:name w:val="Normal"/>
    <w:qFormat/>
  </w:style>
  <w:style w:type="paragraph" w:styleId="889">
    <w:name w:val="Heading 1"/>
    <w:basedOn w:val="888"/>
    <w:next w:val="888"/>
    <w:qFormat/>
    <w:pPr>
      <w:ind w:right="-1" w:firstLine="709"/>
      <w:jc w:val="both"/>
      <w:keepNext/>
      <w:outlineLvl w:val="0"/>
    </w:pPr>
    <w:rPr>
      <w:sz w:val="24"/>
    </w:rPr>
  </w:style>
  <w:style w:type="paragraph" w:styleId="890">
    <w:name w:val="Heading 2"/>
    <w:basedOn w:val="888"/>
    <w:next w:val="888"/>
    <w:qFormat/>
    <w:pPr>
      <w:ind w:right="-1"/>
      <w:jc w:val="both"/>
      <w:keepNext/>
      <w:outlineLvl w:val="1"/>
    </w:pPr>
    <w:rPr>
      <w:sz w:val="24"/>
    </w:rPr>
  </w:style>
  <w:style w:type="character" w:styleId="891" w:default="1">
    <w:name w:val="Default Paragraph Font"/>
    <w:semiHidden/>
  </w:style>
  <w:style w:type="table" w:styleId="892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3" w:default="1">
    <w:name w:val="No List"/>
    <w:semiHidden/>
  </w:style>
  <w:style w:type="paragraph" w:styleId="894">
    <w:name w:val="Caption"/>
    <w:basedOn w:val="888"/>
    <w:next w:val="888"/>
    <w:link w:val="74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5">
    <w:name w:val="Body Text"/>
    <w:basedOn w:val="888"/>
    <w:link w:val="923"/>
    <w:pPr>
      <w:ind w:right="3117"/>
    </w:pPr>
    <w:rPr>
      <w:rFonts w:ascii="Courier New" w:hAnsi="Courier New"/>
      <w:sz w:val="26"/>
    </w:rPr>
  </w:style>
  <w:style w:type="paragraph" w:styleId="896">
    <w:name w:val="Body Text Indent"/>
    <w:basedOn w:val="888"/>
    <w:pPr>
      <w:ind w:right="-1"/>
      <w:jc w:val="both"/>
    </w:pPr>
    <w:rPr>
      <w:sz w:val="26"/>
    </w:rPr>
  </w:style>
  <w:style w:type="paragraph" w:styleId="897">
    <w:name w:val="Footer"/>
    <w:basedOn w:val="888"/>
    <w:link w:val="982"/>
    <w:uiPriority w:val="99"/>
    <w:pPr>
      <w:tabs>
        <w:tab w:val="center" w:pos="4153" w:leader="none"/>
        <w:tab w:val="right" w:pos="8306" w:leader="none"/>
      </w:tabs>
    </w:pPr>
  </w:style>
  <w:style w:type="character" w:styleId="898">
    <w:name w:val="page number"/>
    <w:basedOn w:val="891"/>
  </w:style>
  <w:style w:type="paragraph" w:styleId="899">
    <w:name w:val="Header"/>
    <w:basedOn w:val="888"/>
    <w:link w:val="902"/>
    <w:uiPriority w:val="99"/>
    <w:pPr>
      <w:tabs>
        <w:tab w:val="center" w:pos="4153" w:leader="none"/>
        <w:tab w:val="right" w:pos="8306" w:leader="none"/>
      </w:tabs>
    </w:pPr>
  </w:style>
  <w:style w:type="paragraph" w:styleId="900">
    <w:name w:val="Balloon Text"/>
    <w:basedOn w:val="888"/>
    <w:link w:val="901"/>
    <w:uiPriority w:val="99"/>
    <w:rPr>
      <w:rFonts w:ascii="Segoe UI" w:hAnsi="Segoe UI" w:cs="Segoe UI"/>
      <w:sz w:val="18"/>
      <w:szCs w:val="18"/>
    </w:rPr>
  </w:style>
  <w:style w:type="character" w:styleId="901" w:customStyle="1">
    <w:name w:val="Текст выноски Знак"/>
    <w:link w:val="900"/>
    <w:uiPriority w:val="99"/>
    <w:rPr>
      <w:rFonts w:ascii="Segoe UI" w:hAnsi="Segoe UI" w:cs="Segoe UI"/>
      <w:sz w:val="18"/>
      <w:szCs w:val="18"/>
    </w:rPr>
  </w:style>
  <w:style w:type="character" w:styleId="902" w:customStyle="1">
    <w:name w:val="Верхний колонтитул Знак"/>
    <w:link w:val="899"/>
    <w:uiPriority w:val="99"/>
  </w:style>
  <w:style w:type="numbering" w:styleId="903" w:customStyle="1">
    <w:name w:val="Нет списка1"/>
    <w:next w:val="893"/>
    <w:uiPriority w:val="99"/>
    <w:semiHidden/>
    <w:unhideWhenUsed/>
  </w:style>
  <w:style w:type="paragraph" w:styleId="904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5">
    <w:name w:val="Hyperlink"/>
    <w:uiPriority w:val="99"/>
    <w:unhideWhenUsed/>
    <w:rPr>
      <w:color w:val="0000ff"/>
      <w:u w:val="single"/>
    </w:rPr>
  </w:style>
  <w:style w:type="character" w:styleId="906">
    <w:name w:val="FollowedHyperlink"/>
    <w:uiPriority w:val="99"/>
    <w:unhideWhenUsed/>
    <w:rPr>
      <w:color w:val="800080"/>
      <w:u w:val="single"/>
    </w:rPr>
  </w:style>
  <w:style w:type="paragraph" w:styleId="907" w:customStyle="1">
    <w:name w:val="xl65"/>
    <w:basedOn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66"/>
    <w:basedOn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xl67"/>
    <w:basedOn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0" w:customStyle="1">
    <w:name w:val="xl68"/>
    <w:basedOn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1" w:customStyle="1">
    <w:name w:val="xl69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0"/>
    <w:basedOn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3" w:customStyle="1">
    <w:name w:val="xl71"/>
    <w:basedOn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2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3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4"/>
    <w:basedOn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5"/>
    <w:basedOn w:val="88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6"/>
    <w:basedOn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7"/>
    <w:basedOn w:val="888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8"/>
    <w:basedOn w:val="88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9"/>
    <w:basedOn w:val="88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Форма"/>
    <w:rPr>
      <w:sz w:val="28"/>
      <w:szCs w:val="28"/>
    </w:rPr>
  </w:style>
  <w:style w:type="character" w:styleId="923" w:customStyle="1">
    <w:name w:val="Основной текст Знак"/>
    <w:link w:val="895"/>
    <w:rPr>
      <w:rFonts w:ascii="Courier New" w:hAnsi="Courier New"/>
      <w:sz w:val="26"/>
    </w:rPr>
  </w:style>
  <w:style w:type="paragraph" w:styleId="924" w:customStyle="1">
    <w:name w:val="ConsPlusNormal"/>
    <w:rPr>
      <w:sz w:val="28"/>
      <w:szCs w:val="28"/>
    </w:rPr>
  </w:style>
  <w:style w:type="numbering" w:styleId="925" w:customStyle="1">
    <w:name w:val="Нет списка11"/>
    <w:next w:val="893"/>
    <w:uiPriority w:val="99"/>
    <w:semiHidden/>
    <w:unhideWhenUsed/>
  </w:style>
  <w:style w:type="numbering" w:styleId="926" w:customStyle="1">
    <w:name w:val="Нет списка111"/>
    <w:next w:val="893"/>
    <w:uiPriority w:val="99"/>
    <w:semiHidden/>
    <w:unhideWhenUsed/>
  </w:style>
  <w:style w:type="paragraph" w:styleId="927" w:customStyle="1">
    <w:name w:val="font5"/>
    <w:basedOn w:val="888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8" w:customStyle="1">
    <w:name w:val="xl80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9" w:customStyle="1">
    <w:name w:val="xl81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0" w:customStyle="1">
    <w:name w:val="xl82"/>
    <w:basedOn w:val="88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1">
    <w:name w:val="Table Grid"/>
    <w:basedOn w:val="892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2" w:customStyle="1">
    <w:name w:val="xl83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84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85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86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87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7" w:customStyle="1">
    <w:name w:val="xl88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8" w:customStyle="1">
    <w:name w:val="xl89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0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1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2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2" w:customStyle="1">
    <w:name w:val="xl93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4"/>
    <w:basedOn w:val="88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5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6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7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98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8" w:customStyle="1">
    <w:name w:val="xl99"/>
    <w:basedOn w:val="888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100"/>
    <w:basedOn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1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2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3"/>
    <w:basedOn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4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5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6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7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8"/>
    <w:basedOn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9"/>
    <w:basedOn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0"/>
    <w:basedOn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1"/>
    <w:basedOn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2"/>
    <w:basedOn w:val="888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2" w:customStyle="1">
    <w:name w:val="xl113"/>
    <w:basedOn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4"/>
    <w:basedOn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5"/>
    <w:basedOn w:val="88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5" w:customStyle="1">
    <w:name w:val="xl116"/>
    <w:basedOn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7"/>
    <w:basedOn w:val="888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8"/>
    <w:basedOn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19"/>
    <w:basedOn w:val="88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20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 w:customStyle="1">
    <w:name w:val="xl121"/>
    <w:basedOn w:val="88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 w:customStyle="1">
    <w:name w:val="xl122"/>
    <w:basedOn w:val="88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23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3" w:customStyle="1">
    <w:name w:val="xl124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4" w:customStyle="1">
    <w:name w:val="xl125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5" w:customStyle="1">
    <w:name w:val="Нет списка2"/>
    <w:next w:val="893"/>
    <w:uiPriority w:val="99"/>
    <w:semiHidden/>
    <w:unhideWhenUsed/>
  </w:style>
  <w:style w:type="numbering" w:styleId="976" w:customStyle="1">
    <w:name w:val="Нет списка3"/>
    <w:next w:val="893"/>
    <w:uiPriority w:val="99"/>
    <w:semiHidden/>
    <w:unhideWhenUsed/>
  </w:style>
  <w:style w:type="paragraph" w:styleId="977" w:customStyle="1">
    <w:name w:val="font6"/>
    <w:basedOn w:val="88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8" w:customStyle="1">
    <w:name w:val="font7"/>
    <w:basedOn w:val="88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9" w:customStyle="1">
    <w:name w:val="font8"/>
    <w:basedOn w:val="88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0" w:customStyle="1">
    <w:name w:val="Нет списка4"/>
    <w:next w:val="893"/>
    <w:uiPriority w:val="99"/>
    <w:semiHidden/>
    <w:unhideWhenUsed/>
  </w:style>
  <w:style w:type="paragraph" w:styleId="981">
    <w:name w:val="List Paragraph"/>
    <w:basedOn w:val="88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2" w:customStyle="1">
    <w:name w:val="Нижний колонтитул Знак"/>
    <w:link w:val="897"/>
    <w:uiPriority w:val="99"/>
  </w:style>
  <w:style w:type="paragraph" w:styleId="983" w:customStyle="1">
    <w:name w:val="Normal (Web)"/>
    <w:basedOn w:val="744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4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70713&amp;dst=3146&amp;field=134&amp;date=17.03.2026" TargetMode="External"/><Relationship Id="rId14" Type="http://schemas.openxmlformats.org/officeDocument/2006/relationships/hyperlink" Target="https://login.consultant.ru/link/?req=doc&amp;base=LAW&amp;n=470430&amp;date=17.03.2026" TargetMode="External"/><Relationship Id="rId15" Type="http://schemas.openxmlformats.org/officeDocument/2006/relationships/hyperlink" Target="http://www.gorodperm.ru" TargetMode="External"/><Relationship Id="rId16" Type="http://schemas.openxmlformats.org/officeDocument/2006/relationships/hyperlink" Target="https://login.consultant.ru/link/?req=doc&amp;base=RLAW368&amp;n=205128&amp;date=09.02.2026" TargetMode="External"/><Relationship Id="rId17" Type="http://schemas.openxmlformats.org/officeDocument/2006/relationships/hyperlink" Target="https://login.consultant.ru/link/?req=doc&amp;base=LAW&amp;n=480322&amp;dst=100011&amp;field=134&amp;date=17.03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25</cp:revision>
  <dcterms:created xsi:type="dcterms:W3CDTF">2024-10-25T06:26:00Z</dcterms:created>
  <dcterms:modified xsi:type="dcterms:W3CDTF">2026-05-19T11:58:07Z</dcterms:modified>
</cp:coreProperties>
</file>