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ind w:right="0"/>
        <w:jc w:val="both"/>
        <w:rPr>
          <w:rFonts w:ascii="Times New Roman" w:hAnsi="Times New Roman"/>
          <w:color w:val="000000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" cy="116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547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578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,116">
                <v:shape id="shape 2" o:spid="_x0000_s2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8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85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85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954"/>
        <w:ind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954"/>
        <w:ind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  <w:r>
        <w:rPr>
          <w:color w:val="000000"/>
          <w:sz w:val="24"/>
          <w:lang w:val="en-US"/>
        </w:rPr>
      </w:r>
      <w:r>
        <w:rPr>
          <w:color w:val="000000"/>
          <w:sz w:val="24"/>
          <w:lang w:val="en-US"/>
        </w:rPr>
      </w:r>
    </w:p>
    <w:p>
      <w:pPr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в постановление администрации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 от 19.03.2014 № 185 </w:t>
      </w:r>
      <w:r>
        <w:rPr>
          <w:b/>
          <w:bCs/>
          <w:color w:val="000000"/>
          <w:sz w:val="28"/>
          <w:szCs w:val="28"/>
        </w:rPr>
        <w:br/>
        <w:t xml:space="preserve">«Об утверждении Методики расчета </w:t>
      </w:r>
      <w:r>
        <w:rPr>
          <w:b/>
          <w:bCs/>
          <w:color w:val="000000"/>
          <w:sz w:val="28"/>
          <w:szCs w:val="28"/>
        </w:rPr>
        <w:br/>
        <w:t xml:space="preserve">и размера показателя для определения объема финансового обеспечения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возмещения части затрат частных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общеобразовательных организаций, осуществляющих на территории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 образовательную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деятельность по имеющим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государственную аккредитацию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основным общеобразовательным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программам»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личной власти», Уставом города Перми, решениями Пермской городской Думы от 28 августа 2007 г. № 185 «Об утверждении Положения о бюджете и бюджетном процессе в городе Перми», от 28 января </w:t>
        <w:br/>
        <w:t xml:space="preserve">2014 г. № 13 «Об установлении расходного обязательства по возмещению</w:t>
      </w:r>
      <w:r>
        <w:rPr>
          <w:color w:val="000000"/>
          <w:sz w:val="28"/>
          <w:szCs w:val="28"/>
        </w:rPr>
        <w:t xml:space="preserve"> части затрат частных 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программам», от 24 февраля 2026 г. № 21 «Об установлении расходно</w:t>
      </w:r>
      <w:r>
        <w:rPr>
          <w:color w:val="000000"/>
          <w:sz w:val="28"/>
          <w:szCs w:val="28"/>
        </w:rPr>
        <w:t xml:space="preserve">го обязательства города Перми на предоставление грантов образовательным организациям высшего образования, участвующим в пилотном проекте «Профильные школы при вузах Пермского края», в целях актуализации нормативной правовой базы администрации города Перми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4"/>
        <w:ind w:righ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Перми от 19 марта 2014 г. № 185 «Об утверждении Методики расчета и размера показателя для определения объема финансового обеспечения возм</w:t>
      </w:r>
      <w:r>
        <w:rPr>
          <w:color w:val="000000"/>
          <w:sz w:val="28"/>
          <w:szCs w:val="28"/>
        </w:rPr>
        <w:t xml:space="preserve">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программам» (в ред. от 17.11.2014 № 851, от 28.05.2015 </w:t>
      </w:r>
      <w:r>
        <w:rPr>
          <w:color w:val="000000"/>
          <w:sz w:val="28"/>
          <w:szCs w:val="28"/>
        </w:rPr>
        <w:br/>
        <w:t xml:space="preserve">№ 320, от 20.10.2015 № 842, от 26.02.2016 № 130, от 24.01.2017 № 47,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19.10.2017 № 915, от 01.02.2018 № 66, от 19.10.2018 № 767, от 14.11.2019 </w:t>
      </w:r>
      <w:r>
        <w:rPr>
          <w:color w:val="000000"/>
          <w:sz w:val="28"/>
          <w:szCs w:val="28"/>
        </w:rPr>
        <w:br/>
        <w:t xml:space="preserve">№ 903, от 11.09.2020 № 826, от 24.09.2021 № 753, от 04.10.2022 № 901, </w:t>
      </w:r>
      <w:r>
        <w:rPr>
          <w:color w:val="000000"/>
          <w:sz w:val="28"/>
          <w:szCs w:val="28"/>
        </w:rPr>
        <w:br/>
        <w:t xml:space="preserve">от 24.10.2022 № 1064, от 13.10.2023 № 1008, от 10.10.2024 № 871, от 05.12.2024 </w:t>
      </w:r>
      <w:r>
        <w:rPr>
          <w:color w:val="000000"/>
          <w:sz w:val="28"/>
          <w:szCs w:val="28"/>
        </w:rPr>
        <w:br/>
        <w:t xml:space="preserve">№ 1186, от 20.10.2025 № 851)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наименование дополнить словами «, и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преамбулу после слов «общеобразовательным программам</w:t>
      </w:r>
      <w:r>
        <w:rPr>
          <w:color w:val="000000"/>
          <w:sz w:val="28"/>
          <w:szCs w:val="28"/>
        </w:rPr>
        <w:t xml:space="preserve">» дополнить словами «, от 24 февраля 2026 г. № 21 «Об установлении расходного обязательства города Перми на предоставление грантов образовательным организациям высшего образования, участвующим в пилотном проекте «Профильные школы при вузах Пермского края»;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</w:t>
      </w:r>
      <w:r>
        <w:rPr>
          <w:color w:val="000000"/>
          <w:sz w:val="28"/>
          <w:szCs w:val="28"/>
        </w:rPr>
        <w:t xml:space="preserve"> пункт 1.1 после слова «программам» дополнить словами «, и расчета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4"/>
        <w:ind w:right="0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1.4. дополнить пунктом 1.3 следующего содержания: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954"/>
        <w:ind w:right="-8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«1.3. размер показателя для определения объема финансового обеспечения затрат образовательных организаций высшего образования, участвующих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в пилотном проекте «Профильные школы при вузах Пермского края», на 2026 год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и плановый период 2027 и 2028 годов.»;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954"/>
        <w:ind w:right="-8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1.5. пункт 2 после слова «программам,» дополнить словами «и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расчет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края»,»;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954"/>
        <w:ind w:right="-8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6. пункт 3 после слова «организаций» дополнить словами «и размер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края»,»;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954"/>
        <w:ind w:right="-8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1.7. дополнить размером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на 2026 год и плановый период 2027 и 2028 годов согласно приложению 1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к настоящему постановлению.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Внести в Методику расчета показателя для определения объема финансового обеспечения возмещения части затрат частных общеобразо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утвержденную постановлением администрации города Перми </w:t>
        <w:br/>
        <w:t xml:space="preserve">от 19 марта 2014 г. № 185 </w:t>
      </w:r>
      <w:r>
        <w:rPr>
          <w:color w:val="000000"/>
          <w:sz w:val="28"/>
          <w:szCs w:val="28"/>
        </w:rPr>
        <w:t xml:space="preserve">(в ред. от 17.11.2014 № 851, от 28.05.2015 № 320, </w:t>
        <w:br/>
        <w:t xml:space="preserve">от 20.10.2015 № 842, от 26.02.2016 № 130, от 24.01.2017 № 47, от 19.10.2017 </w:t>
      </w:r>
      <w:r>
        <w:rPr>
          <w:color w:val="000000"/>
          <w:sz w:val="28"/>
          <w:szCs w:val="28"/>
        </w:rPr>
        <w:br/>
        <w:t xml:space="preserve">№ 915, от 01.02.2018 № 66, от 19.10.2018 № 767, от 14.11.2019 № 903, </w:t>
      </w:r>
      <w:r>
        <w:rPr>
          <w:color w:val="000000"/>
          <w:sz w:val="28"/>
          <w:szCs w:val="28"/>
        </w:rPr>
        <w:br/>
        <w:t xml:space="preserve">от 11.09.2020 № 826, от 24.09.2021 № 753, от 04.10.2022 № 901, от 24.10.2022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1064, от 13.10.2023 № 1008, от 10.10.2024 № 871, от 05.12.2024 № 1186, </w:t>
      </w:r>
      <w:r>
        <w:rPr>
          <w:color w:val="000000"/>
          <w:sz w:val="28"/>
          <w:szCs w:val="28"/>
        </w:rPr>
        <w:br/>
        <w:t xml:space="preserve">от 20.10.2025 № 851),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наименование дополнить словами «, и расчета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раздел 1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I. Общие положения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Методика расчета показателя для определения объема финансового обеспечения возмещения части затрат частных общеобразовательных организаций, осуществляющих на территории города Перми образовательную деятельно</w:t>
      </w:r>
      <w:r>
        <w:rPr>
          <w:color w:val="000000"/>
          <w:sz w:val="28"/>
          <w:szCs w:val="28"/>
        </w:rPr>
        <w:t xml:space="preserve">сть по имеющим государственную аккредитацию основным общеобразовательным программам, и расчета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</w:t>
      </w:r>
      <w:r>
        <w:rPr>
          <w:color w:val="000000"/>
          <w:sz w:val="28"/>
          <w:szCs w:val="28"/>
        </w:rPr>
        <w:t xml:space="preserve">ы при вузах Пермского края» (далее – Методика), определяет механизм формирования расходов в части возмещения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</w:t>
      </w:r>
      <w:r>
        <w:rPr>
          <w:color w:val="000000"/>
          <w:sz w:val="28"/>
          <w:szCs w:val="28"/>
        </w:rPr>
        <w:t xml:space="preserve">ккредитацию основным общеобразовательным программам (далее – ЧОО) и механизм формирования расходов в части затрат образовательных организаций высшего образования, участвующих в пилотном проекте «Профильные школы при вузах Пермского края» (далее – ООВО).»;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в разделе 2: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2.3.1. абзац четвертый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«Размер показателя для определения объема финансового</w:t>
      </w:r>
      <w:r>
        <w:rPr>
          <w:color w:val="000000"/>
          <w:sz w:val="28"/>
          <w:szCs w:val="28"/>
        </w:rPr>
        <w:t xml:space="preserve"> обеспечения возмещения части затрат ЧОО (далее – размер показателя ЧОО) – величина средств для определения объема финансового обеспечения возмещения части затрат ЧОО, определенная на 1 обучающегося в год в соответствии с пунктом 4.1 настоящей Методики.»;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2.3.2. после абзаца четвертого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«Размер показателя для определения объема финансового обеспечения затрат ООВО (далее – размер показателя ООВО) – величина средств для определения объема финансового обеспечения затрат ООВО, определенная на 1 обучающегося в год в соответствии с пунктом 4.1</w:t>
      </w:r>
      <w:r>
        <w:rPr>
          <w:color w:val="000000"/>
          <w:sz w:val="28"/>
          <w:szCs w:val="28"/>
          <w:vertAlign w:val="superscript"/>
        </w:rPr>
        <w:t xml:space="preserve">1</w:t>
      </w:r>
      <w:r>
        <w:rPr>
          <w:color w:val="000000"/>
          <w:sz w:val="28"/>
          <w:szCs w:val="28"/>
        </w:rPr>
        <w:t xml:space="preserve"> настоящей Методики.»;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2.3.3. в абзаце пятом слова «– величина затрат по реализации основных общеобразовательных программ начального общего образования, по реализации </w:t>
      </w:r>
      <w:r>
        <w:rPr>
          <w:color w:val="000000"/>
          <w:sz w:val="28"/>
          <w:szCs w:val="28"/>
        </w:rPr>
        <w:t xml:space="preserve">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определенная в соответствии с пунктом 4.2 настоящей Методики (далее – нормативные затраты по реализации осн</w:t>
      </w:r>
      <w:r>
        <w:rPr>
          <w:color w:val="000000"/>
          <w:sz w:val="28"/>
          <w:szCs w:val="28"/>
        </w:rPr>
        <w:t xml:space="preserve">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образования)» заменить словами «для опре</w:t>
      </w:r>
      <w:r>
        <w:rPr>
          <w:color w:val="000000"/>
          <w:sz w:val="28"/>
          <w:szCs w:val="28"/>
        </w:rPr>
        <w:t xml:space="preserve">деления размера показателя ЧОО – величина базового норматива затрат на оказание муниципальных услуг по реализации основных общеобразовательных программ 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определенная в соответствии </w:t>
        <w:br/>
        <w:t xml:space="preserve">с пунктом 4.2 настоящей Методики»;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2.3.4. после абзаца пятого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«Нормативные зат</w:t>
      </w:r>
      <w:r>
        <w:rPr>
          <w:color w:val="000000"/>
          <w:sz w:val="28"/>
          <w:szCs w:val="28"/>
        </w:rPr>
        <w:t xml:space="preserve">раты на оказание муниципальных услуг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 для определения размера показателя ООВО – величина базово</w:t>
      </w:r>
      <w:r>
        <w:rPr>
          <w:color w:val="000000"/>
          <w:sz w:val="28"/>
          <w:szCs w:val="28"/>
        </w:rPr>
        <w:t xml:space="preserve">го норматива затрат на оказание муниципальных услуг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определенная в соответствии с пунктом 4.2</w:t>
      </w:r>
      <w:r>
        <w:rPr>
          <w:color w:val="000000"/>
          <w:sz w:val="28"/>
          <w:szCs w:val="28"/>
          <w:vertAlign w:val="superscript"/>
        </w:rPr>
        <w:t xml:space="preserve">1</w:t>
      </w:r>
      <w:r>
        <w:rPr>
          <w:color w:val="000000"/>
          <w:sz w:val="28"/>
          <w:szCs w:val="28"/>
        </w:rPr>
        <w:t xml:space="preserve"> настоящей Методики.»;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2.3.5. в абзаце шестом: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2.3.5.1. после слова «имущества» дополнить словами «для определения размера показателя ЧОО»;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2.3.5.2. слова «(далее – средняя величина нормативных затрат на содержание муниципального имущества)»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2.3.6. после абзаца шестого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«Средняя величина нормативных затрат на содержание муниципального имущества для определения размера показателя ООВО в расчете на 1 обучающегося – величина финансовых средств бюджета города Перми, определенная </w:t>
      </w:r>
      <w:r>
        <w:rPr>
          <w:color w:val="000000"/>
          <w:sz w:val="28"/>
          <w:szCs w:val="28"/>
        </w:rPr>
        <w:br/>
        <w:t xml:space="preserve">на 1 обучающегося в год в соответствии с пунктом 4.3</w:t>
      </w:r>
      <w:r>
        <w:rPr>
          <w:color w:val="000000"/>
          <w:sz w:val="28"/>
          <w:szCs w:val="28"/>
          <w:vertAlign w:val="superscript"/>
        </w:rPr>
        <w:t xml:space="preserve">1</w:t>
      </w:r>
      <w:r>
        <w:rPr>
          <w:color w:val="000000"/>
          <w:sz w:val="28"/>
          <w:szCs w:val="28"/>
        </w:rPr>
        <w:t xml:space="preserve"> настоящей Методики.»;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2.3.7. в абзаце седьмом: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2.3.7.1. после слова «налогов» дополнить словами «для определения размера показателя ЧОО»;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2.3.7.2. слова «(далее – средняя величина нормативных затрат на уплату налогов)»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2.3.8. в абзаце восьмом: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2.3.8.1. </w:t>
      </w:r>
      <w:r>
        <w:rPr>
          <w:color w:val="000000"/>
          <w:sz w:val="28"/>
          <w:szCs w:val="28"/>
        </w:rPr>
        <w:t xml:space="preserve">слова «частным общеобразовательным организациям» заменить аббревиатурой «ЧОО»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2.3.8.2. </w:t>
      </w:r>
      <w:r>
        <w:rPr>
          <w:color w:val="000000"/>
          <w:sz w:val="28"/>
          <w:szCs w:val="28"/>
        </w:rPr>
        <w:t xml:space="preserve">слова «частными общеобразовательными организациями» заменить аббревиатурой «ЧОО»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 в абзаце девятом: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.1. после слов «плановое количество обучающихся» дополнить словами «для определения размера показателя ЧОО»;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.2. слова «(далее – плановое количество обучающихся)» исключить;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.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«Плановое количество обучающихся для определения размера показателя ООВО – количество обучающихся в</w:t>
      </w:r>
      <w:r>
        <w:rPr>
          <w:color w:val="000000"/>
          <w:sz w:val="28"/>
          <w:szCs w:val="28"/>
        </w:rPr>
        <w:t xml:space="preserve"> муниципальных общеобразовательных учреждениях, оказывающих муниципальные услуги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</w:t>
      </w:r>
      <w:r>
        <w:rPr>
          <w:color w:val="000000"/>
          <w:sz w:val="28"/>
          <w:szCs w:val="28"/>
        </w:rPr>
        <w:t xml:space="preserve">ции основных общеобразовательных программ среднего общего образования, </w:t>
      </w:r>
      <w:r>
        <w:rPr>
          <w:color w:val="000000"/>
          <w:sz w:val="28"/>
          <w:szCs w:val="28"/>
        </w:rPr>
        <w:br/>
        <w:t xml:space="preserve">по предварительному комплектованию, учтенное при формировании бюджета города Перми на 2026 год и плановый период 2027 и 2028 годов.»;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 разделе 3: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2.4.1. после абзаца третьего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«Федеральный закон от 20 марта 2025 г. № 33-ФЗ «Об общих принципах организации местного самоуправления в единой системе публичной власти».»;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2.4.2. дополнить абзацем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«Решение Пер</w:t>
      </w:r>
      <w:r>
        <w:rPr>
          <w:color w:val="000000"/>
          <w:sz w:val="28"/>
          <w:szCs w:val="28"/>
        </w:rPr>
        <w:t xml:space="preserve">мской городской Думы от 24 февраля 2026 г. № 21 «Об установлении расходного обязательства города Перми на предоставление грантов образовательным организациям высшего образования, участвующим в пилотном проекте «Профильные школы при вузах Пермского края».»;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наименование раздела 4 дополнить словами «и размера показателя 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в пункте 4.1: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2.6.1. абзацы первый, второй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«4.1. Размер показателя ЧОО рассчитывается по формуле, руб.: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ОВЗ</w:t>
      </w:r>
      <w:r>
        <w:rPr>
          <w:color w:val="000000"/>
          <w:sz w:val="28"/>
          <w:szCs w:val="28"/>
          <w:vertAlign w:val="subscript"/>
        </w:rPr>
        <w:t xml:space="preserve">чоо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 xml:space="preserve">НЗ</w:t>
      </w:r>
      <w:r>
        <w:rPr>
          <w:color w:val="000000"/>
          <w:sz w:val="28"/>
          <w:szCs w:val="28"/>
          <w:vertAlign w:val="subscript"/>
        </w:rPr>
        <w:t xml:space="preserve">чоо</w:t>
      </w:r>
      <w:r>
        <w:rPr>
          <w:color w:val="000000"/>
          <w:sz w:val="28"/>
          <w:szCs w:val="28"/>
        </w:rPr>
        <w:t xml:space="preserve"> + СВНЗ</w:t>
      </w:r>
      <w:r>
        <w:rPr>
          <w:color w:val="000000"/>
          <w:sz w:val="28"/>
          <w:szCs w:val="28"/>
          <w:vertAlign w:val="subscript"/>
        </w:rPr>
        <w:t xml:space="preserve">сми1</w:t>
      </w:r>
      <w:r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</w:rPr>
        <w:t xml:space="preserve">СВНЗ</w:t>
      </w:r>
      <w:r>
        <w:rPr>
          <w:color w:val="000000"/>
          <w:sz w:val="28"/>
          <w:szCs w:val="28"/>
          <w:vertAlign w:val="subscript"/>
        </w:rPr>
        <w:t xml:space="preserve">нал</w:t>
      </w:r>
      <w:r>
        <w:rPr>
          <w:color w:val="000000"/>
          <w:sz w:val="28"/>
          <w:szCs w:val="28"/>
        </w:rPr>
        <w:t xml:space="preserve">, где»;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2.6.2. абзац третий дополнить словами «для определения размера показателя ЧОО»;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2.6.3. абзац четвертый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«СВНЗ</w:t>
      </w:r>
      <w:r>
        <w:rPr>
          <w:color w:val="000000"/>
          <w:sz w:val="28"/>
          <w:szCs w:val="28"/>
          <w:vertAlign w:val="subscript"/>
        </w:rPr>
        <w:t xml:space="preserve">сми1</w:t>
      </w:r>
      <w:r>
        <w:rPr>
          <w:color w:val="000000"/>
          <w:sz w:val="28"/>
          <w:szCs w:val="28"/>
        </w:rPr>
        <w:t xml:space="preserve"> – средняя величина нормативных затрат на содержание муниципального имущества для определения размера показателя ЧОО;»;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 абзац пятый дополнить словами «для определения размера показателя ЧОО»;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дополнить пунктом 4.1</w:t>
      </w:r>
      <w:r>
        <w:rPr>
          <w:color w:val="000000"/>
          <w:sz w:val="28"/>
          <w:szCs w:val="28"/>
          <w:vertAlign w:val="superscript"/>
        </w:rPr>
        <w:t xml:space="preserve">1</w:t>
      </w:r>
      <w:r>
        <w:rPr>
          <w:color w:val="000000"/>
          <w:sz w:val="28"/>
          <w:szCs w:val="28"/>
        </w:rPr>
        <w:t xml:space="preserve"> следующего содержания: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 Размер показателя ООВО рассчитывается по формуле, руб.: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ОЗ</w:t>
      </w:r>
      <w:r>
        <w:rPr>
          <w:sz w:val="28"/>
          <w:szCs w:val="28"/>
          <w:vertAlign w:val="subscript"/>
        </w:rPr>
        <w:t xml:space="preserve">оово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НЗ</w:t>
      </w:r>
      <w:r>
        <w:rPr>
          <w:sz w:val="28"/>
          <w:szCs w:val="28"/>
          <w:vertAlign w:val="subscript"/>
        </w:rPr>
        <w:t xml:space="preserve">оово</w:t>
      </w:r>
      <w:r>
        <w:rPr>
          <w:sz w:val="28"/>
          <w:szCs w:val="28"/>
        </w:rPr>
        <w:t xml:space="preserve"> + СВНЗ</w:t>
      </w:r>
      <w:r>
        <w:rPr>
          <w:sz w:val="28"/>
          <w:szCs w:val="28"/>
          <w:vertAlign w:val="subscript"/>
        </w:rPr>
        <w:t xml:space="preserve">сми2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НЗ</w:t>
      </w:r>
      <w:r>
        <w:rPr>
          <w:sz w:val="28"/>
          <w:szCs w:val="28"/>
          <w:vertAlign w:val="subscript"/>
        </w:rPr>
        <w:t xml:space="preserve">оово</w:t>
      </w:r>
      <w:r>
        <w:rPr>
          <w:sz w:val="28"/>
          <w:szCs w:val="28"/>
        </w:rPr>
        <w:t xml:space="preserve"> – 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 для определения размера показателя ООВО;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СВНЗ</w:t>
      </w:r>
      <w:r>
        <w:rPr>
          <w:sz w:val="28"/>
          <w:szCs w:val="28"/>
          <w:vertAlign w:val="subscript"/>
        </w:rPr>
        <w:t xml:space="preserve">сми2</w:t>
      </w:r>
      <w:r>
        <w:rPr>
          <w:sz w:val="28"/>
          <w:szCs w:val="28"/>
        </w:rPr>
        <w:t xml:space="preserve"> – средняя величина нормативных затрат на содержание муниципального имущества для определения размера показателя ООВО.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размера показателя осуществляется на 2026 год и плановый период 2027 и 2028 годов.»;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пункте 4.2 слова «частных общеобразовательных организациях» заменить аббревиатурой «ЧОО»;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дополнить пунктом 4.2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 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 вкл</w:t>
      </w:r>
      <w:r>
        <w:rPr>
          <w:sz w:val="28"/>
          <w:szCs w:val="28"/>
        </w:rPr>
        <w:t xml:space="preserve">ючаются в размер показателей для определения объема расходов ООВО соответственно в сумме нормативных затрат на оказание муниципальных услуг по реализации основных общеобразовательных программ основного общего образования, по реализации основных общеобразов</w:t>
      </w:r>
      <w:r>
        <w:rPr>
          <w:sz w:val="28"/>
          <w:szCs w:val="28"/>
        </w:rPr>
        <w:t xml:space="preserve">ательных программ среднего общего образования в общеобразовательных учреждениях по условию (форме) оказания муниципальных услуг – очная, утвержденных постановлением администрации города Перми, и представлены в таблице 3.»;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в пункте 4.3: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абзац первый после слов «в размер показателя» дополнить словами «ЧОО»;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«СВНЗ</w:t>
      </w:r>
      <w:r>
        <w:rPr>
          <w:sz w:val="28"/>
          <w:szCs w:val="28"/>
          <w:vertAlign w:val="subscript"/>
        </w:rPr>
        <w:t xml:space="preserve">сми1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РНЗ</w:t>
      </w:r>
      <w:r>
        <w:rPr>
          <w:sz w:val="28"/>
          <w:szCs w:val="28"/>
          <w:vertAlign w:val="subscript"/>
        </w:rPr>
        <w:t xml:space="preserve">сми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, где»;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абзац четвертый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 – плановое количество обучающихся для определения размера показателя ЧОО (чел.).»;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абзац пятый после слова «имущества» дополнить словами «для определения размера показателя 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абзац шестой после слова «имущества» дополнить словами «для определения размера показателя 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дополнить пунктом 4.3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 Средняя величина нормативных затрат на содер</w:t>
      </w:r>
      <w:r>
        <w:rPr>
          <w:sz w:val="28"/>
          <w:szCs w:val="28"/>
        </w:rPr>
        <w:t xml:space="preserve">жание муниципального имущества для включения в размер показателя ООВО рассчитывается исходя из величины размера нормативных затрат на содержание муниципального имущества и планового количества обучающихся для определения размера показателя ООВО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СВНЗ</w:t>
      </w:r>
      <w:r>
        <w:rPr>
          <w:sz w:val="28"/>
          <w:szCs w:val="28"/>
          <w:vertAlign w:val="subscript"/>
        </w:rPr>
        <w:t xml:space="preserve">сми2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РНЗ</w:t>
      </w:r>
      <w:r>
        <w:rPr>
          <w:sz w:val="28"/>
          <w:szCs w:val="28"/>
          <w:vertAlign w:val="subscript"/>
        </w:rPr>
        <w:t xml:space="preserve">сми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 – плановое количество обучающихся для определения размера показателя ООВО (чел.).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величина нормативных затрат на содержание муниципального имущества для определения размера показателя ООВО рассчитывается </w:t>
      </w:r>
      <w:r>
        <w:rPr>
          <w:sz w:val="28"/>
          <w:szCs w:val="28"/>
        </w:rPr>
        <w:br/>
        <w:t xml:space="preserve">на 2026 год и плановый период 2027 и 2028 годов с учетом количества обучающихся по годам планирования.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средней величины нормативных затрат на содержание муниципального имущества для определения размера показателя ООВО приведен </w:t>
        <w:br/>
      </w:r>
      <w:r>
        <w:rPr>
          <w:sz w:val="28"/>
          <w:szCs w:val="28"/>
        </w:rPr>
        <w:t xml:space="preserve">в таблице 4.»;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в пункте 4.4: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абзац первый после слова «показателей» дополнить аббревиатурой «ЧОО»;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СВЗ</w:t>
      </w:r>
      <w:r>
        <w:rPr>
          <w:sz w:val="28"/>
          <w:szCs w:val="28"/>
          <w:vertAlign w:val="subscript"/>
        </w:rPr>
        <w:t xml:space="preserve">нал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РЗ</w:t>
      </w:r>
      <w:r>
        <w:rPr>
          <w:sz w:val="28"/>
          <w:szCs w:val="28"/>
          <w:vertAlign w:val="subscript"/>
        </w:rPr>
        <w:t xml:space="preserve">нал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 xml:space="preserve">1</w:t>
      </w:r>
      <w:r>
        <w:rPr>
          <w:sz w:val="28"/>
          <w:szCs w:val="28"/>
        </w:rPr>
        <w:t xml:space="preserve">, где»;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абзац четвертый после слова «налогов» дополнить словами </w:t>
      </w:r>
      <w:r>
        <w:rPr>
          <w:sz w:val="28"/>
          <w:szCs w:val="28"/>
        </w:rPr>
        <w:br/>
        <w:t xml:space="preserve">«для определения размера показателя ЧОО»;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2.13. таблицу 1 изложить в редакции согласно приложению 2 к настоящему постановлению;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2.14. таблицу 2 изложить в редакции согласно приложению 3 к настоящему постановлению;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2.15. таблицу 2.1 изложить в редакции согласно приложению 4 к настоящему постановлению;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2.16. дополнить таблицей 3 согласно приложению 5 к настоящему постановлению;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2.17. дополнить таблицей 4 согласно приложению 6 к настоящему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  <w:t xml:space="preserve">за исключением пунктов 1, 2.1, 2.2, 2.3.2, 2.3.4, 2.3.6, 2.3.9, 2.4.2</w:t>
      </w:r>
      <w:r>
        <w:rPr>
          <w:sz w:val="28"/>
          <w:szCs w:val="28"/>
        </w:rPr>
        <w:t xml:space="preserve">, 2.5, 2.7, 2.9, 2.11, 2.16, 2.17, которые распространяются на правоотношения, возникшие с 01 января 2026 г., и действуют до истечения срока действия решения Пермской городской Думы </w:t>
      </w:r>
      <w:r>
        <w:rPr>
          <w:color w:val="000000"/>
          <w:sz w:val="28"/>
          <w:szCs w:val="28"/>
        </w:rPr>
        <w:t xml:space="preserve">от 24 февраля 2026 г. № 21 «Об установлении расходного обязательства города Перми на предоставление грантов образовательным организациям высшего образования, участвующим в пилотном проекте «Профильные школы при вузах Пермского края».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4"/>
        <w:ind w:right="0"/>
        <w:jc w:val="both"/>
        <w:spacing w:line="240" w:lineRule="exact"/>
        <w:tabs>
          <w:tab w:val="right" w:pos="9915" w:leader="none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Э.О. Соснин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spacing w:line="240" w:lineRule="exact"/>
        <w:rPr>
          <w:color w:val="000000"/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  <w:sectPr>
          <w:headerReference w:type="default" r:id="rId10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1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РАЗМЕР </w:t>
      </w:r>
      <w:r>
        <w:rPr>
          <w:b/>
          <w:color w:val="000000"/>
          <w:sz w:val="28"/>
          <w:szCs w:val="28"/>
        </w:rPr>
        <w:br w:type="textWrapping" w:clear="all"/>
        <w:t xml:space="preserve">показателя для определения объема финансового обеспечения затрат </w:t>
      </w:r>
      <w:r>
        <w:rPr>
          <w:b/>
          <w:color w:val="000000"/>
          <w:sz w:val="28"/>
          <w:szCs w:val="28"/>
        </w:rPr>
        <w:br/>
        <w:t xml:space="preserve">образовательных организаций высшего образования, участвующих </w:t>
      </w:r>
      <w:r>
        <w:rPr>
          <w:b/>
          <w:color w:val="000000"/>
          <w:sz w:val="28"/>
          <w:szCs w:val="28"/>
        </w:rPr>
        <w:br/>
        <w:t xml:space="preserve">в пилотном проекте «Профильные школы при вузах Пермского края», </w:t>
      </w:r>
      <w:r>
        <w:rPr>
          <w:b/>
          <w:color w:val="000000"/>
          <w:sz w:val="28"/>
          <w:szCs w:val="28"/>
        </w:rPr>
        <w:br/>
        <w:t xml:space="preserve">на 2026 год и плановый период 2027 и 2028 годов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2552"/>
      </w:tblGrid>
      <w:tr>
        <w:tblPrEx/>
        <w:trPr>
          <w:trHeight w:val="1394"/>
        </w:trPr>
        <w:tc>
          <w:tcPr>
            <w:tcW w:w="492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pacing w:line="14" w:lineRule="auto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2552"/>
      </w:tblGrid>
      <w:tr>
        <w:tblPrEx/>
        <w:trPr>
          <w:trHeight w:val="20"/>
          <w:tblHeader/>
        </w:trPr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5 491,20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5 468,79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</w:t>
            </w:r>
            <w:r>
              <w:rPr>
                <w:color w:val="000000"/>
                <w:sz w:val="24"/>
                <w:szCs w:val="24"/>
              </w:rPr>
              <w:t xml:space="preserve">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7 187,08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7 164,67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5 491,20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5 468,79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</w:t>
            </w:r>
            <w:r>
              <w:rPr>
                <w:color w:val="000000"/>
                <w:sz w:val="24"/>
                <w:szCs w:val="24"/>
              </w:rPr>
              <w:t xml:space="preserve">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7 187,08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7 164,67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5 491,20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5 468,79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0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определения объема финансового обеспечения затрат образовательных организаций высшего образования, участвующих в пилотном проекте «Профильные школы при вузах Пермского края»</w:t>
            </w:r>
            <w:r>
              <w:rPr>
                <w:color w:val="000000"/>
                <w:sz w:val="24"/>
                <w:szCs w:val="24"/>
              </w:rPr>
              <w:t xml:space="preserve">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7 187,08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7 164,67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rPr>
          <w:color w:val="000000"/>
          <w:sz w:val="28"/>
        </w:rPr>
        <w:sectPr>
          <w:head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5954"/>
        <w:spacing w:line="240" w:lineRule="exact"/>
        <w:rPr>
          <w:rFonts w:eastAsia="Calibri"/>
          <w:color w:val="000000"/>
          <w:sz w:val="28"/>
          <w:szCs w:val="28"/>
          <w:lang w:eastAsia="en-US"/>
        </w:rPr>
        <w:sectPr>
          <w:headerReference w:type="default" r:id="rId12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2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right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ЗАТРАТЫ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реализации основных общеобразовательных программ начального общего образования, по реализации основных общеобразовательных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 основного общего образования, по реализации основных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общеобразовательных программ среднего общего образования</w:t>
      </w:r>
      <w:r>
        <w:t xml:space="preserve"> </w:t>
      </w:r>
      <w:r>
        <w:br/>
      </w:r>
      <w:r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частных общеобразовательных организаций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954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843"/>
        <w:gridCol w:w="1843"/>
        <w:gridCol w:w="1843"/>
      </w:tblGrid>
      <w:tr>
        <w:tblPrEx/>
        <w:trPr>
          <w:trHeight w:val="1352"/>
        </w:trPr>
        <w:tc>
          <w:tcPr>
            <w:tcW w:w="442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начального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pacing w:line="14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tbl>
      <w:tblPr>
        <w:tblW w:w="5020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843"/>
        <w:gridCol w:w="1843"/>
        <w:gridCol w:w="1843"/>
      </w:tblGrid>
      <w:tr>
        <w:tblPrEx/>
        <w:trPr>
          <w:tblHeader/>
        </w:trPr>
        <w:tc>
          <w:tcPr>
            <w:tcW w:w="442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42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</w:t>
            </w:r>
            <w:r>
              <w:rPr>
                <w:color w:val="000000"/>
                <w:sz w:val="24"/>
                <w:szCs w:val="24"/>
              </w:rPr>
              <w:t xml:space="preserve">траты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42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</w:t>
            </w:r>
            <w:r>
              <w:rPr>
                <w:color w:val="000000"/>
                <w:sz w:val="24"/>
                <w:szCs w:val="24"/>
              </w:rPr>
              <w:t xml:space="preserve">траты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42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</w:t>
            </w:r>
            <w:r>
              <w:rPr>
                <w:color w:val="000000"/>
                <w:sz w:val="24"/>
                <w:szCs w:val="24"/>
              </w:rPr>
              <w:t xml:space="preserve">траты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center"/>
        <w:rPr>
          <w:b/>
          <w:color w:val="000000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  <w:sectPr>
          <w:headerReference w:type="default" r:id="rId13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3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right"/>
        <w:spacing w:line="240" w:lineRule="exac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Таблица 2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РАСЧЕТ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средней величины нормативных затрат </w:t>
      </w:r>
      <w:r>
        <w:rPr>
          <w:b/>
          <w:color w:val="000000"/>
          <w:sz w:val="28"/>
          <w:szCs w:val="28"/>
        </w:rPr>
        <w:br w:type="textWrapping" w:clear="all"/>
        <w:t xml:space="preserve">на содержание муниципального имущества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частных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общеобразовательных организаций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3"/>
        <w:gridCol w:w="1716"/>
        <w:gridCol w:w="1716"/>
        <w:gridCol w:w="1716"/>
      </w:tblGrid>
      <w:tr>
        <w:tblPrEx/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Плановое количество обучающихся,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5954"/>
        <w:spacing w:line="240" w:lineRule="exact"/>
        <w:rPr>
          <w:rFonts w:eastAsia="Calibri"/>
          <w:color w:val="000000"/>
          <w:sz w:val="28"/>
          <w:szCs w:val="28"/>
          <w:lang w:eastAsia="en-US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val="en-US"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4</w:t>
      </w:r>
      <w:r>
        <w:rPr>
          <w:rFonts w:eastAsia="Calibri"/>
          <w:color w:val="000000"/>
          <w:sz w:val="28"/>
          <w:szCs w:val="28"/>
          <w:lang w:val="en-US" w:eastAsia="en-US"/>
        </w:rPr>
      </w:r>
      <w:r>
        <w:rPr>
          <w:rFonts w:eastAsia="Calibri"/>
          <w:color w:val="000000"/>
          <w:sz w:val="28"/>
          <w:szCs w:val="28"/>
          <w:lang w:val="en-US"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40" w:lineRule="exac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Таблица 2.1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РАСЧЕТ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средней величины нормативных затрат на уплату налогов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частных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общеобразовательных организаций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3"/>
        <w:gridCol w:w="1716"/>
        <w:gridCol w:w="1716"/>
        <w:gridCol w:w="1716"/>
      </w:tblGrid>
      <w:tr>
        <w:tblPrEx/>
        <w:trPr>
          <w:trHeight w:val="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267 123 442,08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267 123 442,08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267 123 442,08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Плановое количество обучающихся,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5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уплату налогов,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1 902,39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1 902,39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1 902,39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ind w:firstLine="709"/>
        <w:jc w:val="center"/>
        <w:rPr>
          <w:b/>
          <w:color w:val="000000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ectPr>
          <w:headerReference w:type="default" r:id="rId14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/>
      <w:r/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5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jc w:val="right"/>
        <w:spacing w:line="240" w:lineRule="exac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Таблица 3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ЗАТРАТЫ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реализации основных общеобразовательных программ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основного общего образования,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реализации основных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общеобразовательных программ среднего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общего образования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образовательных организаций высшего образования, участвующих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в пилотном проекте «Профильные школы при вузах Пермского края»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tbl>
      <w:tblPr>
        <w:tblW w:w="9954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94"/>
        <w:gridCol w:w="2409"/>
        <w:gridCol w:w="2551"/>
      </w:tblGrid>
      <w:tr>
        <w:tblPrEx/>
        <w:trPr>
          <w:trHeight w:val="869"/>
        </w:trPr>
        <w:tc>
          <w:tcPr>
            <w:tcW w:w="499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pacing w:line="14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tbl>
      <w:tblPr>
        <w:tblW w:w="502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94"/>
        <w:gridCol w:w="2409"/>
        <w:gridCol w:w="2551"/>
      </w:tblGrid>
      <w:tr>
        <w:tblPrEx/>
        <w:trPr>
          <w:tblHeader/>
        </w:trPr>
        <w:tc>
          <w:tcPr>
            <w:tcW w:w="499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99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24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255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99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</w:t>
            </w: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  <w:t xml:space="preserve">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5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99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</w:t>
            </w: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  <w:t xml:space="preserve">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/>
      <w:r/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6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  <w:t xml:space="preserve">26.05.2026 № 312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right"/>
        <w:spacing w:line="240" w:lineRule="exac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Таблица 4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РАСЧЕТ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средней величины нормативных затрат </w:t>
      </w:r>
      <w:r>
        <w:rPr>
          <w:b/>
          <w:color w:val="000000"/>
          <w:sz w:val="28"/>
          <w:szCs w:val="28"/>
        </w:rPr>
        <w:br w:type="textWrapping" w:clear="all"/>
        <w:t xml:space="preserve">на содержание муниципального имущества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для </w:t>
      </w:r>
      <w:r>
        <w:rPr>
          <w:b/>
          <w:color w:val="000000"/>
          <w:sz w:val="28"/>
          <w:szCs w:val="28"/>
        </w:rPr>
        <w:t xml:space="preserve">образовательных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организаций высшего образования, участвующих в пилотном проекте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«Профильные школы при вузах Пермского края»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3"/>
        <w:gridCol w:w="1716"/>
        <w:gridCol w:w="1716"/>
        <w:gridCol w:w="1716"/>
      </w:tblGrid>
      <w:tr>
        <w:tblPrEx/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238 126 759,20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Плановое количество обучающихся,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140 415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1 695,88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ind w:left="5670"/>
        <w:spacing w:line="240" w:lineRule="exact"/>
      </w:pPr>
      <w:r/>
      <w:bookmarkStart w:id="0" w:name="_GoBack"/>
      <w:r/>
      <w:bookmarkEnd w:id="0"/>
      <w:r/>
      <w:r/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7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0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0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</w:style>
  <w:style w:type="paragraph" w:styleId="756">
    <w:name w:val="Heading 1"/>
    <w:basedOn w:val="755"/>
    <w:next w:val="755"/>
    <w:link w:val="785"/>
    <w:qFormat/>
    <w:pPr>
      <w:ind w:right="-1" w:firstLine="709"/>
      <w:jc w:val="both"/>
      <w:keepNext/>
      <w:outlineLvl w:val="0"/>
    </w:pPr>
    <w:rPr>
      <w:sz w:val="24"/>
    </w:rPr>
  </w:style>
  <w:style w:type="paragraph" w:styleId="757">
    <w:name w:val="Heading 2"/>
    <w:basedOn w:val="755"/>
    <w:next w:val="755"/>
    <w:link w:val="786"/>
    <w:qFormat/>
    <w:pPr>
      <w:ind w:right="-1"/>
      <w:jc w:val="both"/>
      <w:keepNext/>
      <w:outlineLvl w:val="1"/>
    </w:pPr>
    <w:rPr>
      <w:sz w:val="24"/>
    </w:rPr>
  </w:style>
  <w:style w:type="paragraph" w:styleId="758">
    <w:name w:val="Heading 3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9" w:customStyle="1">
    <w:name w:val="Heading 2 Char"/>
    <w:uiPriority w:val="9"/>
    <w:rPr>
      <w:rFonts w:ascii="Liberation Sans" w:hAnsi="Liberation Sans" w:eastAsia="Liberation Sans" w:cs="Liberation Sans"/>
      <w:sz w:val="34"/>
    </w:rPr>
  </w:style>
  <w:style w:type="character" w:styleId="770" w:customStyle="1">
    <w:name w:val="Heading 3 Char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1" w:customStyle="1">
    <w:name w:val="Heading 4 Char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2" w:customStyle="1">
    <w:name w:val="Heading 5 Char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73" w:customStyle="1">
    <w:name w:val="Heading 6 Char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74" w:customStyle="1">
    <w:name w:val="Heading 7 Char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5" w:customStyle="1">
    <w:name w:val="Heading 8 Char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6" w:customStyle="1">
    <w:name w:val="Heading 9 Char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7" w:customStyle="1">
    <w:name w:val="Title Char"/>
    <w:uiPriority w:val="10"/>
    <w:rPr>
      <w:sz w:val="48"/>
      <w:szCs w:val="48"/>
    </w:rPr>
  </w:style>
  <w:style w:type="character" w:styleId="778" w:customStyle="1">
    <w:name w:val="Subtitle Char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Footer Char"/>
    <w:basedOn w:val="765"/>
    <w:uiPriority w:val="99"/>
  </w:style>
  <w:style w:type="character" w:styleId="782" w:customStyle="1">
    <w:name w:val="Caption Char"/>
    <w:uiPriority w:val="35"/>
    <w:rPr>
      <w:b/>
      <w:bCs/>
      <w:color w:val="4f81bd"/>
      <w:sz w:val="18"/>
      <w:szCs w:val="18"/>
    </w:rPr>
  </w:style>
  <w:style w:type="character" w:styleId="783" w:customStyle="1">
    <w:name w:val="Footnote Text Char"/>
    <w:uiPriority w:val="99"/>
    <w:rPr>
      <w:sz w:val="18"/>
    </w:rPr>
  </w:style>
  <w:style w:type="character" w:styleId="784" w:customStyle="1">
    <w:name w:val="Endnote Text Char"/>
    <w:uiPriority w:val="99"/>
    <w:rPr>
      <w:sz w:val="20"/>
    </w:rPr>
  </w:style>
  <w:style w:type="character" w:styleId="785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55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rPr>
      <w:lang w:eastAsia="zh-CN"/>
    </w:rPr>
  </w:style>
  <w:style w:type="paragraph" w:styleId="796">
    <w:name w:val="Title"/>
    <w:basedOn w:val="755"/>
    <w:next w:val="755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 w:customStyle="1">
    <w:name w:val="Название Знак"/>
    <w:link w:val="796"/>
    <w:uiPriority w:val="10"/>
    <w:rPr>
      <w:sz w:val="48"/>
      <w:szCs w:val="48"/>
    </w:rPr>
  </w:style>
  <w:style w:type="paragraph" w:styleId="798">
    <w:name w:val="Subtitle"/>
    <w:basedOn w:val="755"/>
    <w:next w:val="755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link w:val="798"/>
    <w:uiPriority w:val="11"/>
    <w:rPr>
      <w:sz w:val="24"/>
      <w:szCs w:val="24"/>
    </w:rPr>
  </w:style>
  <w:style w:type="paragraph" w:styleId="800">
    <w:name w:val="Quote"/>
    <w:basedOn w:val="755"/>
    <w:next w:val="755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55"/>
    <w:next w:val="755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paragraph" w:styleId="804">
    <w:name w:val="Header"/>
    <w:basedOn w:val="755"/>
    <w:link w:val="959"/>
    <w:uiPriority w:val="99"/>
    <w:pPr>
      <w:tabs>
        <w:tab w:val="center" w:pos="4153" w:leader="none"/>
        <w:tab w:val="right" w:pos="8306" w:leader="none"/>
      </w:tabs>
    </w:pPr>
  </w:style>
  <w:style w:type="character" w:styleId="805" w:customStyle="1">
    <w:name w:val="Header Char"/>
    <w:uiPriority w:val="99"/>
  </w:style>
  <w:style w:type="paragraph" w:styleId="806">
    <w:name w:val="Footer"/>
    <w:basedOn w:val="755"/>
    <w:link w:val="807"/>
    <w:pPr>
      <w:tabs>
        <w:tab w:val="center" w:pos="4153" w:leader="none"/>
        <w:tab w:val="right" w:pos="8306" w:leader="none"/>
      </w:tabs>
    </w:pPr>
  </w:style>
  <w:style w:type="character" w:styleId="807" w:customStyle="1">
    <w:name w:val="Нижний колонтитул Знак"/>
    <w:link w:val="806"/>
    <w:uiPriority w:val="99"/>
  </w:style>
  <w:style w:type="paragraph" w:styleId="808">
    <w:name w:val="Caption"/>
    <w:basedOn w:val="755"/>
    <w:next w:val="755"/>
    <w:link w:val="80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9" w:customStyle="1">
    <w:name w:val="Название объекта Знак"/>
    <w:link w:val="808"/>
    <w:uiPriority w:val="35"/>
    <w:rPr>
      <w:b/>
      <w:bCs/>
      <w:color w:val="4f81bd"/>
      <w:sz w:val="18"/>
      <w:szCs w:val="18"/>
    </w:rPr>
  </w:style>
  <w:style w:type="table" w:styleId="810">
    <w:name w:val="Table Grid"/>
    <w:basedOn w:val="76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6">
    <w:name w:val="Hyperlink"/>
    <w:uiPriority w:val="99"/>
    <w:unhideWhenUsed/>
    <w:rPr>
      <w:color w:val="0000ff"/>
      <w:u w:val="single"/>
    </w:rPr>
  </w:style>
  <w:style w:type="paragraph" w:styleId="937">
    <w:name w:val="footnote text"/>
    <w:basedOn w:val="755"/>
    <w:link w:val="938"/>
    <w:uiPriority w:val="99"/>
    <w:semiHidden/>
    <w:unhideWhenUsed/>
    <w:pPr>
      <w:spacing w:after="40"/>
    </w:pPr>
    <w:rPr>
      <w:sz w:val="18"/>
    </w:rPr>
  </w:style>
  <w:style w:type="character" w:styleId="938" w:customStyle="1">
    <w:name w:val="Текст сноски Знак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755"/>
    <w:link w:val="941"/>
    <w:uiPriority w:val="99"/>
    <w:semiHidden/>
    <w:unhideWhenUsed/>
  </w:style>
  <w:style w:type="character" w:styleId="941" w:customStyle="1">
    <w:name w:val="Текст концевой сноски Знак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755"/>
    <w:next w:val="755"/>
    <w:uiPriority w:val="39"/>
    <w:unhideWhenUsed/>
    <w:pPr>
      <w:spacing w:after="57"/>
    </w:pPr>
  </w:style>
  <w:style w:type="paragraph" w:styleId="944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45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46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47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48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9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50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51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52">
    <w:name w:val="TOC Heading"/>
    <w:uiPriority w:val="39"/>
    <w:unhideWhenUsed/>
    <w:rPr>
      <w:lang w:eastAsia="zh-CN"/>
    </w:rPr>
  </w:style>
  <w:style w:type="paragraph" w:styleId="953">
    <w:name w:val="table of figures"/>
    <w:basedOn w:val="755"/>
    <w:next w:val="755"/>
    <w:uiPriority w:val="99"/>
    <w:unhideWhenUsed/>
  </w:style>
  <w:style w:type="paragraph" w:styleId="954">
    <w:name w:val="Body Text"/>
    <w:basedOn w:val="755"/>
    <w:link w:val="961"/>
    <w:pPr>
      <w:ind w:right="3117"/>
    </w:pPr>
    <w:rPr>
      <w:rFonts w:ascii="Courier New" w:hAnsi="Courier New"/>
      <w:sz w:val="26"/>
      <w:lang w:val="en-US" w:eastAsia="en-US"/>
    </w:rPr>
  </w:style>
  <w:style w:type="paragraph" w:styleId="955">
    <w:name w:val="Body Text Indent"/>
    <w:basedOn w:val="755"/>
    <w:pPr>
      <w:ind w:right="-1"/>
      <w:jc w:val="both"/>
    </w:pPr>
    <w:rPr>
      <w:sz w:val="26"/>
    </w:rPr>
  </w:style>
  <w:style w:type="character" w:styleId="956">
    <w:name w:val="page number"/>
    <w:basedOn w:val="765"/>
  </w:style>
  <w:style w:type="paragraph" w:styleId="957">
    <w:name w:val="Balloon Text"/>
    <w:basedOn w:val="755"/>
    <w:link w:val="958"/>
    <w:rPr>
      <w:rFonts w:ascii="Segoe UI" w:hAnsi="Segoe UI"/>
      <w:sz w:val="18"/>
      <w:szCs w:val="18"/>
      <w:lang w:val="en-US" w:eastAsia="en-US"/>
    </w:rPr>
  </w:style>
  <w:style w:type="character" w:styleId="958" w:customStyle="1">
    <w:name w:val="Текст выноски Знак"/>
    <w:link w:val="957"/>
    <w:rPr>
      <w:rFonts w:ascii="Segoe UI" w:hAnsi="Segoe UI" w:cs="Segoe UI"/>
      <w:sz w:val="18"/>
      <w:szCs w:val="18"/>
    </w:rPr>
  </w:style>
  <w:style w:type="character" w:styleId="959" w:customStyle="1">
    <w:name w:val="Верхний колонтитул Знак"/>
    <w:link w:val="804"/>
    <w:uiPriority w:val="99"/>
  </w:style>
  <w:style w:type="paragraph" w:styleId="960" w:customStyle="1">
    <w:name w:val="Форма"/>
    <w:rPr>
      <w:sz w:val="28"/>
      <w:szCs w:val="28"/>
    </w:rPr>
  </w:style>
  <w:style w:type="character" w:styleId="961" w:customStyle="1">
    <w:name w:val="Основной текст Знак"/>
    <w:link w:val="954"/>
    <w:rPr>
      <w:rFonts w:ascii="Courier New" w:hAnsi="Courier New"/>
      <w:sz w:val="26"/>
    </w:rPr>
  </w:style>
  <w:style w:type="paragraph" w:styleId="962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63" w:customStyle="1">
    <w:name w:val="ConsPlusNormal"/>
    <w:pPr>
      <w:widowControl w:val="off"/>
    </w:pPr>
    <w:rPr>
      <w:rFonts w:ascii="Arial" w:hAnsi="Arial" w:cs="Arial"/>
      <w:szCs w:val="22"/>
    </w:rPr>
  </w:style>
  <w:style w:type="paragraph" w:styleId="964">
    <w:name w:val="Normal (Web)"/>
    <w:basedOn w:val="755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2026-05-22T05:22:00Z</dcterms:created>
  <dcterms:modified xsi:type="dcterms:W3CDTF">2026-05-26T12:33:36Z</dcterms:modified>
  <cp:version>983040</cp:version>
</cp:coreProperties>
</file>