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7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57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57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57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61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27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26.05.2026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314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757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57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57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61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27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26.05.2026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314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0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0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right="5237"/>
        <w:jc w:val="both"/>
        <w:spacing w:line="240" w:lineRule="exac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right="5237"/>
        <w:jc w:val="both"/>
        <w:spacing w:line="240" w:lineRule="exac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right="5237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237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237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239"/>
        <w:spacing w:line="240" w:lineRule="exact"/>
        <w:rPr>
          <w:rFonts w:eastAsia="Droid Sans Fallback" w:cs="Calibri"/>
          <w:b/>
          <w:bCs/>
          <w:color w:val="00000a"/>
          <w:sz w:val="28"/>
          <w:szCs w:val="28"/>
          <w:lang w:eastAsia="en-US"/>
        </w:rPr>
      </w:pPr>
      <w:r>
        <w:rPr>
          <w:rFonts w:eastAsia="Droid Sans Fallback" w:cs="Calibri"/>
          <w:b/>
          <w:bCs/>
          <w:color w:val="00000a"/>
          <w:sz w:val="28"/>
          <w:szCs w:val="28"/>
          <w:lang w:eastAsia="en-US"/>
        </w:rPr>
        <w:t xml:space="preserve">О внесении изменений в объем расходов на возмещение затрат некоммерческой организации «Фонд Развития Пермского Баскетбола «ПАРМА» на 2026 год </w:t>
      </w:r>
      <w:r>
        <w:rPr>
          <w:rFonts w:eastAsia="Droid Sans Fallback" w:cs="Calibri"/>
          <w:b/>
          <w:bCs/>
          <w:color w:val="00000a"/>
          <w:sz w:val="28"/>
          <w:szCs w:val="28"/>
          <w:lang w:eastAsia="en-US"/>
        </w:rPr>
      </w:r>
      <w:r>
        <w:rPr>
          <w:rFonts w:eastAsia="Droid Sans Fallback" w:cs="Calibri"/>
          <w:b/>
          <w:bCs/>
          <w:color w:val="00000a"/>
          <w:sz w:val="28"/>
          <w:szCs w:val="28"/>
          <w:lang w:eastAsia="en-US"/>
        </w:rPr>
      </w:r>
    </w:p>
    <w:p>
      <w:pPr>
        <w:ind w:left="0" w:right="4813" w:firstLine="0"/>
        <w:spacing w:line="240" w:lineRule="exact"/>
        <w:rPr>
          <w:rFonts w:eastAsia="Droid Sans Fallback" w:cs="Calibri"/>
          <w:b/>
          <w:bCs/>
          <w:color w:val="00000a"/>
          <w:sz w:val="28"/>
          <w:szCs w:val="28"/>
          <w:lang w:eastAsia="en-US"/>
        </w:rPr>
      </w:pPr>
      <w:r>
        <w:rPr>
          <w:rFonts w:eastAsia="Droid Sans Fallback" w:cs="Calibri"/>
          <w:b/>
          <w:bCs/>
          <w:color w:val="00000a"/>
          <w:sz w:val="28"/>
          <w:szCs w:val="28"/>
          <w:lang w:eastAsia="en-US"/>
        </w:rPr>
        <w:t xml:space="preserve">и плановый период 2027 и 2028 годов, утвержденный постановлением администрации города Перми </w:t>
      </w:r>
      <w:r>
        <w:rPr>
          <w:rFonts w:eastAsia="Droid Sans Fallback" w:cs="Calibri"/>
          <w:b/>
          <w:bCs/>
          <w:color w:val="00000a"/>
          <w:sz w:val="28"/>
          <w:szCs w:val="28"/>
          <w:lang w:eastAsia="en-US"/>
        </w:rPr>
      </w:r>
      <w:r>
        <w:rPr>
          <w:rFonts w:eastAsia="Droid Sans Fallback" w:cs="Calibri"/>
          <w:b/>
          <w:bCs/>
          <w:color w:val="00000a"/>
          <w:sz w:val="28"/>
          <w:szCs w:val="28"/>
          <w:lang w:eastAsia="en-US"/>
        </w:rPr>
      </w:r>
    </w:p>
    <w:p>
      <w:pPr>
        <w:ind w:left="0" w:right="4813" w:firstLine="0"/>
        <w:spacing w:line="240" w:lineRule="exact"/>
        <w:rPr>
          <w:b/>
          <w:bCs/>
          <w:sz w:val="28"/>
          <w:szCs w:val="28"/>
        </w:rPr>
      </w:pPr>
      <w:r>
        <w:rPr>
          <w:rFonts w:eastAsia="Droid Sans Fallback" w:cs="Calibri"/>
          <w:b/>
          <w:bCs/>
          <w:color w:val="00000a"/>
          <w:sz w:val="28"/>
          <w:szCs w:val="28"/>
          <w:lang w:eastAsia="en-US"/>
        </w:rPr>
        <w:t xml:space="preserve">от 16.10.2025 № 788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523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5239"/>
        <w:tabs>
          <w:tab w:val="left" w:pos="3405" w:leader="none"/>
        </w:tabs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right="5239"/>
        <w:tabs>
          <w:tab w:val="left" w:pos="3405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Пермской городской Думы от 26 сентября </w:t>
      </w:r>
      <w:r>
        <w:rPr>
          <w:sz w:val="28"/>
          <w:szCs w:val="28"/>
        </w:rPr>
        <w:br w:type="textWrapping" w:clear="all"/>
        <w:t xml:space="preserve">2017 г. № 199 «Об установлении расходного обязательства города Перми в сфере физической культуры и спорта», постановлением администрации города Перми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от 13 ноября 2017 г. № 1024 </w:t>
      </w:r>
      <w:r>
        <w:rPr>
          <w:sz w:val="28"/>
          <w:szCs w:val="28"/>
        </w:rPr>
        <w:t xml:space="preserve">«Об утверждении Порядка предоставления субсидии некоммерческой организации «Фонд Развития Пермского Баскетбола «ПАРМА»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целях возмещения затрат, связанных с оказанием содействия субъекту физической культуры и спорта, осуществляющему свою деятельность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территории города Перми»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изменения в объем расходов на возмещение затрат некоммерческой организации «Фонд Развития Пермского Баскетбола «ПАРМА» на 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год </w:t>
        <w:br/>
        <w:t xml:space="preserve">и плановый период 202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 и 202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 годов, утвержденный постановлением администрации города Перми от 1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октября 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г. № </w:t>
      </w:r>
      <w:r>
        <w:rPr>
          <w:sz w:val="28"/>
          <w:szCs w:val="28"/>
        </w:rPr>
        <w:t xml:space="preserve">788</w:t>
      </w:r>
      <w:r>
        <w:rPr>
          <w:sz w:val="28"/>
          <w:szCs w:val="28"/>
        </w:rPr>
        <w:t xml:space="preserve">, изложив в редакции согласно </w:t>
      </w:r>
      <w:r>
        <w:rPr>
          <w:sz w:val="28"/>
          <w:szCs w:val="28"/>
        </w:rPr>
        <w:t xml:space="preserve">приложению</w:t>
      </w:r>
      <w:r>
        <w:rPr>
          <w:sz w:val="28"/>
          <w:szCs w:val="28"/>
        </w:rPr>
        <w:t xml:space="preserve"> к настоящему постановлению.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Управлению по общим вопр</w:t>
      </w:r>
      <w:r>
        <w:rPr>
          <w:sz w:val="28"/>
          <w:szCs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4"/>
        <w:ind w:firstLine="720"/>
        <w:jc w:val="both"/>
      </w:pPr>
      <w:r>
        <w:t xml:space="preserve">5. Контроль за исполнением настоящего постановления возложить </w:t>
      </w:r>
      <w:r>
        <w:br w:type="textWrapping" w:clear="all"/>
        <w:t xml:space="preserve">на заместителя главы администрации города Перми Мальцеву Е.Д.</w:t>
      </w:r>
      <w:r/>
    </w:p>
    <w:p>
      <w:pPr>
        <w:pStyle w:val="914"/>
        <w:jc w:val="both"/>
      </w:pPr>
      <w:r/>
      <w:r/>
    </w:p>
    <w:p>
      <w:pPr>
        <w:pStyle w:val="914"/>
        <w:jc w:val="both"/>
      </w:pPr>
      <w:r/>
      <w:r/>
    </w:p>
    <w:p>
      <w:pPr>
        <w:pStyle w:val="914"/>
        <w:jc w:val="both"/>
        <w:spacing w:line="240" w:lineRule="exact"/>
      </w:pPr>
      <w:r/>
      <w:r/>
    </w:p>
    <w:p>
      <w:pPr>
        <w:pStyle w:val="914"/>
        <w:spacing w:line="240" w:lineRule="exact"/>
      </w:pPr>
      <w:r>
        <w:t xml:space="preserve">Глава</w:t>
      </w:r>
      <w:r>
        <w:t xml:space="preserve"> города Перми                  </w:t>
      </w:r>
      <w:r>
        <w:t xml:space="preserve">                               </w:t>
      </w:r>
      <w:r>
        <w:t xml:space="preserve">     </w:t>
      </w:r>
      <w:r>
        <w:t xml:space="preserve">                               Э.О. Соснин</w:t>
      </w:r>
      <w:r/>
    </w:p>
    <w:p>
      <w:pPr>
        <w:pStyle w:val="914"/>
        <w:spacing w:line="240" w:lineRule="exact"/>
      </w:pPr>
      <w:r/>
      <w:r/>
    </w:p>
    <w:p>
      <w:pPr>
        <w:ind w:left="5103"/>
        <w:spacing w:line="240" w:lineRule="exact"/>
        <w:rPr>
          <w:color w:val="000000"/>
          <w:sz w:val="28"/>
          <w:szCs w:val="28"/>
        </w:rPr>
        <w:sectPr>
          <w:headerReference w:type="default" r:id="rId9"/>
          <w:headerReference w:type="even" r:id="rId10"/>
          <w:footerReference w:type="default" r:id="rId11"/>
          <w:footnotePr/>
          <w:endnotePr/>
          <w:type w:val="nextPage"/>
          <w:pgSz w:w="11900" w:h="16820" w:orient="portrait"/>
          <w:pgMar w:top="1134" w:right="567" w:bottom="1134" w:left="1418" w:header="363" w:footer="720" w:gutter="0"/>
          <w:cols w:num="1" w:sep="0" w:space="60" w:equalWidth="1"/>
          <w:docGrid w:linePitch="360"/>
          <w:titlePg/>
        </w:sect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5670"/>
        <w:spacing w:line="2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5670"/>
        <w:spacing w:line="240" w:lineRule="exact"/>
      </w:pPr>
      <w:r>
        <w:rPr>
          <w:color w:val="000000"/>
          <w:sz w:val="28"/>
          <w:szCs w:val="28"/>
        </w:rPr>
        <w:t xml:space="preserve">к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постановлени</w:t>
      </w:r>
      <w:r>
        <w:rPr>
          <w:color w:val="000000"/>
          <w:sz w:val="28"/>
          <w:szCs w:val="28"/>
        </w:rPr>
        <w:t xml:space="preserve">ю</w:t>
      </w:r>
      <w:r>
        <w:rPr>
          <w:color w:val="000000"/>
          <w:sz w:val="28"/>
          <w:szCs w:val="28"/>
        </w:rPr>
        <w:t xml:space="preserve"> администрации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</w:r>
      <w:r/>
    </w:p>
    <w:p>
      <w:pPr>
        <w:ind w:left="5670"/>
        <w:spacing w:line="2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города Перми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5670"/>
        <w:spacing w:line="240" w:lineRule="exact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26.05.2026 № 314</w:t>
      </w:r>
      <w:r>
        <w:rPr>
          <w:color w:val="000000"/>
          <w:sz w:val="28"/>
          <w:szCs w:val="28"/>
        </w:rPr>
      </w:r>
    </w:p>
    <w:p>
      <w:pPr>
        <w:pStyle w:val="907"/>
        <w:spacing w:line="240" w:lineRule="exac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907"/>
        <w:spacing w:line="240" w:lineRule="exac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907"/>
        <w:spacing w:line="240" w:lineRule="exac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jc w:val="center"/>
        <w:spacing w:line="240" w:lineRule="exact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ОБЪЕМ РАСХОДОВ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br/>
        <w:t xml:space="preserve">на возмещение затрат некоммерческой организации </w:t>
      </w:r>
      <w:r>
        <w:rPr>
          <w:rFonts w:eastAsia="Calibri"/>
          <w:b/>
          <w:sz w:val="28"/>
          <w:szCs w:val="28"/>
          <w:lang w:eastAsia="en-US"/>
        </w:rPr>
        <w:br/>
        <w:t xml:space="preserve">«Фонд Развития Пермского Баскетбола «ПАРМА» </w:t>
      </w:r>
      <w:r>
        <w:rPr>
          <w:rFonts w:eastAsia="Calibri"/>
          <w:b/>
          <w:sz w:val="28"/>
          <w:szCs w:val="28"/>
          <w:lang w:eastAsia="en-US"/>
        </w:rPr>
        <w:br/>
        <w:t xml:space="preserve">на 202</w:t>
      </w:r>
      <w:r>
        <w:rPr>
          <w:rFonts w:eastAsia="Calibri"/>
          <w:b/>
          <w:sz w:val="28"/>
          <w:szCs w:val="28"/>
          <w:lang w:eastAsia="en-US"/>
        </w:rPr>
        <w:t xml:space="preserve">6</w:t>
      </w:r>
      <w:r>
        <w:rPr>
          <w:rFonts w:eastAsia="Calibri"/>
          <w:b/>
          <w:sz w:val="28"/>
          <w:szCs w:val="28"/>
          <w:lang w:eastAsia="en-US"/>
        </w:rPr>
        <w:t xml:space="preserve"> год и плановый период 202</w:t>
      </w:r>
      <w:r>
        <w:rPr>
          <w:rFonts w:eastAsia="Calibri"/>
          <w:b/>
          <w:sz w:val="28"/>
          <w:szCs w:val="28"/>
          <w:lang w:eastAsia="en-US"/>
        </w:rPr>
        <w:t xml:space="preserve">7</w:t>
      </w:r>
      <w:r>
        <w:rPr>
          <w:rFonts w:eastAsia="Calibri"/>
          <w:b/>
          <w:sz w:val="28"/>
          <w:szCs w:val="28"/>
          <w:lang w:eastAsia="en-US"/>
        </w:rPr>
        <w:t xml:space="preserve"> и 202</w:t>
      </w:r>
      <w:r>
        <w:rPr>
          <w:rFonts w:eastAsia="Calibri"/>
          <w:b/>
          <w:sz w:val="28"/>
          <w:szCs w:val="28"/>
          <w:lang w:eastAsia="en-US"/>
        </w:rPr>
        <w:t xml:space="preserve">8</w:t>
      </w:r>
      <w:r>
        <w:rPr>
          <w:rFonts w:eastAsia="Calibri"/>
          <w:b/>
          <w:sz w:val="28"/>
          <w:szCs w:val="28"/>
          <w:lang w:eastAsia="en-US"/>
        </w:rPr>
        <w:t xml:space="preserve"> годов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bCs/>
          <w:sz w:val="28"/>
          <w:szCs w:val="28"/>
          <w:lang w:eastAsia="en-US"/>
        </w:rPr>
      </w:r>
      <w:r>
        <w:rPr>
          <w:rFonts w:eastAsia="Calibri"/>
          <w:b/>
          <w:bCs/>
          <w:sz w:val="28"/>
          <w:szCs w:val="28"/>
          <w:lang w:eastAsia="en-US"/>
        </w:rPr>
      </w:r>
    </w:p>
    <w:p>
      <w:pPr>
        <w:spacing w:line="240" w:lineRule="exact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spacing w:line="240" w:lineRule="exact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tbl>
      <w:tblPr>
        <w:tblW w:w="5003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364"/>
        <w:gridCol w:w="12"/>
        <w:gridCol w:w="4634"/>
        <w:gridCol w:w="12"/>
        <w:gridCol w:w="1678"/>
        <w:gridCol w:w="1566"/>
        <w:gridCol w:w="165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№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4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Наименование расходов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Объем расходов, тыс. руб.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5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6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46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2026 год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2027 год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2028 год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3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4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5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30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46" w:type="dxa"/>
            <w:textDirection w:val="lrTb"/>
            <w:noWrap w:val="false"/>
          </w:tcPr>
          <w:p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Страхование спортсменов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50,00000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50,00000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50,00000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46" w:type="dxa"/>
            <w:textDirection w:val="lrTb"/>
            <w:noWrap w:val="false"/>
          </w:tcPr>
          <w:p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Питание спортсменов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2 627,76990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2 000,00000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2 000,00000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3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46" w:type="dxa"/>
            <w:textDirection w:val="lrTb"/>
            <w:noWrap w:val="false"/>
          </w:tcPr>
          <w:p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Оплата труда административно-управленческого персонала и спортсменов баскетбольной команды, проживающих </w:t>
            </w:r>
            <w:r>
              <w:rPr>
                <w:rFonts w:eastAsia="Calibri"/>
                <w:sz w:val="24"/>
                <w:szCs w:val="24"/>
                <w:lang w:eastAsia="en-US"/>
              </w:rPr>
              <w:br/>
              <w:t xml:space="preserve">на территории города Перми,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а также начисления на выплаты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по оплате труда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46 844,96</w:t>
            </w:r>
            <w:r>
              <w:rPr>
                <w:color w:val="000000"/>
                <w:sz w:val="24"/>
                <w:szCs w:val="24"/>
              </w:rPr>
              <w:t xml:space="preserve">9</w:t>
            </w:r>
            <w:r>
              <w:rPr>
                <w:color w:val="000000"/>
                <w:sz w:val="24"/>
                <w:szCs w:val="24"/>
              </w:rPr>
              <w:t xml:space="preserve">65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51 795,82440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51 795,82440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4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46" w:type="dxa"/>
            <w:textDirection w:val="lrTb"/>
            <w:noWrap w:val="false"/>
          </w:tcPr>
          <w:p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Аренда спортивного сооружения </w:t>
            </w:r>
            <w:r>
              <w:rPr>
                <w:rFonts w:eastAsia="Calibri"/>
                <w:sz w:val="24"/>
                <w:szCs w:val="24"/>
                <w:lang w:eastAsia="en-US"/>
              </w:rPr>
              <w:br/>
              <w:t xml:space="preserve">и оборудования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486</w:t>
            </w:r>
            <w:r>
              <w:rPr>
                <w:color w:val="000000"/>
                <w:sz w:val="24"/>
                <w:szCs w:val="24"/>
              </w:rPr>
              <w:t xml:space="preserve">,</w:t>
            </w:r>
            <w:r>
              <w:rPr>
                <w:color w:val="000000"/>
                <w:sz w:val="24"/>
                <w:szCs w:val="24"/>
              </w:rPr>
              <w:t xml:space="preserve">2</w:t>
            </w:r>
            <w:r>
              <w:rPr>
                <w:color w:val="000000"/>
                <w:sz w:val="24"/>
                <w:szCs w:val="24"/>
              </w:rPr>
              <w:t xml:space="preserve">0000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700,00000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700,00000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5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46" w:type="dxa"/>
            <w:textDirection w:val="lrTb"/>
            <w:noWrap w:val="false"/>
          </w:tcPr>
          <w:p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Оплата членских взносов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300,0</w:t>
            </w:r>
            <w:bookmarkStart w:id="0" w:name="_GoBack"/>
            <w:r/>
            <w:bookmarkEnd w:id="0"/>
            <w:r>
              <w:rPr>
                <w:color w:val="000000"/>
                <w:sz w:val="24"/>
                <w:szCs w:val="24"/>
              </w:rPr>
              <w:t xml:space="preserve">0000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300,00000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6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46" w:type="dxa"/>
            <w:textDirection w:val="lrTb"/>
            <w:noWrap w:val="false"/>
          </w:tcPr>
          <w:p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Приобретение экипировки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1 500,00000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1 500,00000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7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46" w:type="dxa"/>
            <w:textDirection w:val="lrTb"/>
            <w:noWrap w:val="false"/>
          </w:tcPr>
          <w:p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Приобретение инвентаря, оборудования, медикаментов, спортивно-медицинских товаров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1 800</w:t>
            </w:r>
            <w:r>
              <w:rPr>
                <w:color w:val="000000"/>
                <w:sz w:val="24"/>
                <w:szCs w:val="24"/>
              </w:rPr>
              <w:t xml:space="preserve">,</w:t>
            </w:r>
            <w:r>
              <w:rPr>
                <w:color w:val="000000"/>
                <w:sz w:val="24"/>
                <w:szCs w:val="24"/>
              </w:rPr>
              <w:t xml:space="preserve">59970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704,39000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704,39000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8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46" w:type="dxa"/>
            <w:textDirection w:val="lrTb"/>
            <w:noWrap w:val="false"/>
          </w:tcPr>
          <w:p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Транспортные услуги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2 232</w:t>
            </w:r>
            <w:r>
              <w:rPr>
                <w:color w:val="000000"/>
                <w:sz w:val="24"/>
                <w:szCs w:val="24"/>
              </w:rPr>
              <w:t xml:space="preserve">,</w:t>
            </w:r>
            <w:r>
              <w:rPr>
                <w:color w:val="000000"/>
                <w:sz w:val="24"/>
                <w:szCs w:val="24"/>
              </w:rPr>
              <w:t xml:space="preserve">7</w:t>
            </w:r>
            <w:r>
              <w:rPr>
                <w:color w:val="000000"/>
                <w:sz w:val="24"/>
                <w:szCs w:val="24"/>
              </w:rPr>
              <w:t xml:space="preserve">0000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3 000,00000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3 000,00000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9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46" w:type="dxa"/>
            <w:textDirection w:val="lrTb"/>
            <w:noWrap w:val="false"/>
          </w:tcPr>
          <w:p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Техническое обеспечение мероприятий игровым, вспомогательным, световым </w:t>
            </w:r>
            <w:r>
              <w:rPr>
                <w:rFonts w:eastAsia="Calibri"/>
                <w:sz w:val="24"/>
                <w:szCs w:val="24"/>
                <w:lang w:eastAsia="en-US"/>
              </w:rPr>
              <w:br/>
              <w:t xml:space="preserve">и звуковым оборудованием, видеооборудованием, охраной, медицинской помощью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27 609,68</w:t>
            </w:r>
            <w:r>
              <w:rPr>
                <w:color w:val="000000"/>
                <w:sz w:val="24"/>
                <w:szCs w:val="24"/>
              </w:rPr>
              <w:t xml:space="preserve">2</w:t>
            </w:r>
            <w:r>
              <w:rPr>
                <w:color w:val="000000"/>
                <w:sz w:val="24"/>
                <w:szCs w:val="24"/>
              </w:rPr>
              <w:t xml:space="preserve">60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22 709,68560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22 709,68560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10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46" w:type="dxa"/>
            <w:textDirection w:val="lrTb"/>
            <w:noWrap w:val="false"/>
          </w:tcPr>
          <w:p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Изготовление видео-, полиграфической </w:t>
            </w:r>
            <w:r>
              <w:rPr>
                <w:rFonts w:eastAsia="Calibri"/>
                <w:sz w:val="24"/>
                <w:szCs w:val="24"/>
                <w:lang w:eastAsia="en-US"/>
              </w:rPr>
              <w:br/>
              <w:t xml:space="preserve">и рекламной продукции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1 </w:t>
            </w:r>
            <w:r>
              <w:rPr>
                <w:color w:val="000000"/>
                <w:sz w:val="24"/>
                <w:szCs w:val="24"/>
              </w:rPr>
              <w:t xml:space="preserve">21</w:t>
            </w:r>
            <w:r>
              <w:rPr>
                <w:color w:val="000000"/>
                <w:sz w:val="24"/>
                <w:szCs w:val="24"/>
              </w:rPr>
              <w:t xml:space="preserve">2,</w:t>
            </w:r>
            <w:r>
              <w:rPr>
                <w:color w:val="000000"/>
                <w:sz w:val="24"/>
                <w:szCs w:val="24"/>
              </w:rPr>
              <w:t xml:space="preserve">904</w:t>
            </w:r>
            <w:r>
              <w:rPr>
                <w:color w:val="000000"/>
                <w:sz w:val="24"/>
                <w:szCs w:val="24"/>
              </w:rPr>
              <w:t xml:space="preserve">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1 482,50000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1 482,50000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11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46" w:type="dxa"/>
            <w:textDirection w:val="lrTb"/>
            <w:noWrap w:val="false"/>
          </w:tcPr>
          <w:p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Художественное сопровождение баскетбольных матчей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12 525,17415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11 657,60000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11 657,60000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12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46" w:type="dxa"/>
            <w:textDirection w:val="lrTb"/>
            <w:noWrap w:val="false"/>
          </w:tcPr>
          <w:p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Осуществление трансляций баскетбольных матчей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 </w:t>
            </w:r>
            <w:r>
              <w:rPr>
                <w:color w:val="000000"/>
                <w:sz w:val="24"/>
                <w:szCs w:val="24"/>
              </w:rPr>
              <w:t xml:space="preserve">6</w:t>
            </w:r>
            <w:r>
              <w:rPr>
                <w:color w:val="000000"/>
                <w:sz w:val="24"/>
                <w:szCs w:val="24"/>
              </w:rPr>
              <w:t xml:space="preserve">10,00000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4 100,00000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4 100,00000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22" w:type="dxa"/>
            <w:textDirection w:val="lrTb"/>
            <w:noWrap w:val="false"/>
          </w:tcPr>
          <w:p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Итого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100 000,00000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100 000,00000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100 000,00000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</w:tbl>
    <w:p>
      <w:pPr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0" w:h="16820" w:orient="portrait"/>
      <w:pgMar w:top="1134" w:right="567" w:bottom="1134" w:left="1418" w:header="397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roid Sans Fallback">
    <w:panose1 w:val="020B0502000000000001"/>
  </w:font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9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75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7"/>
      <w:rPr>
        <w:rStyle w:val="909"/>
      </w:rPr>
      <w:framePr w:wrap="around" w:vAnchor="text" w:hAnchor="margin" w:xAlign="center" w:y="1"/>
    </w:pPr>
    <w:r>
      <w:rPr>
        <w:rStyle w:val="909"/>
      </w:rPr>
      <w:fldChar w:fldCharType="begin"/>
    </w:r>
    <w:r>
      <w:rPr>
        <w:rStyle w:val="909"/>
      </w:rPr>
      <w:instrText xml:space="preserve">PAGE  </w:instrText>
    </w:r>
    <w:r>
      <w:rPr>
        <w:rStyle w:val="909"/>
      </w:rPr>
      <w:fldChar w:fldCharType="end"/>
    </w:r>
    <w:r>
      <w:rPr>
        <w:rStyle w:val="909"/>
      </w:rPr>
    </w:r>
    <w:r>
      <w:rPr>
        <w:rStyle w:val="909"/>
      </w:rPr>
    </w:r>
  </w:p>
  <w:p>
    <w:pPr>
      <w:pStyle w:val="75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0" w:hanging="48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9">
    <w:name w:val="Heading 1 Char"/>
    <w:basedOn w:val="735"/>
    <w:link w:val="726"/>
    <w:uiPriority w:val="9"/>
    <w:rPr>
      <w:rFonts w:ascii="Arial" w:hAnsi="Arial" w:eastAsia="Arial" w:cs="Arial"/>
      <w:sz w:val="40"/>
      <w:szCs w:val="40"/>
    </w:rPr>
  </w:style>
  <w:style w:type="character" w:styleId="710">
    <w:name w:val="Heading 2 Char"/>
    <w:basedOn w:val="735"/>
    <w:link w:val="727"/>
    <w:uiPriority w:val="9"/>
    <w:rPr>
      <w:rFonts w:ascii="Arial" w:hAnsi="Arial" w:eastAsia="Arial" w:cs="Arial"/>
      <w:sz w:val="34"/>
    </w:rPr>
  </w:style>
  <w:style w:type="character" w:styleId="711">
    <w:name w:val="Heading 3 Char"/>
    <w:basedOn w:val="735"/>
    <w:link w:val="728"/>
    <w:uiPriority w:val="9"/>
    <w:rPr>
      <w:rFonts w:ascii="Arial" w:hAnsi="Arial" w:eastAsia="Arial" w:cs="Arial"/>
      <w:sz w:val="30"/>
      <w:szCs w:val="30"/>
    </w:rPr>
  </w:style>
  <w:style w:type="character" w:styleId="712">
    <w:name w:val="Heading 4 Char"/>
    <w:basedOn w:val="735"/>
    <w:link w:val="729"/>
    <w:uiPriority w:val="9"/>
    <w:rPr>
      <w:rFonts w:ascii="Arial" w:hAnsi="Arial" w:eastAsia="Arial" w:cs="Arial"/>
      <w:b/>
      <w:bCs/>
      <w:sz w:val="26"/>
      <w:szCs w:val="26"/>
    </w:rPr>
  </w:style>
  <w:style w:type="character" w:styleId="713">
    <w:name w:val="Heading 5 Char"/>
    <w:basedOn w:val="735"/>
    <w:link w:val="730"/>
    <w:uiPriority w:val="9"/>
    <w:rPr>
      <w:rFonts w:ascii="Arial" w:hAnsi="Arial" w:eastAsia="Arial" w:cs="Arial"/>
      <w:b/>
      <w:bCs/>
      <w:sz w:val="24"/>
      <w:szCs w:val="24"/>
    </w:rPr>
  </w:style>
  <w:style w:type="character" w:styleId="714">
    <w:name w:val="Heading 6 Char"/>
    <w:basedOn w:val="735"/>
    <w:link w:val="731"/>
    <w:uiPriority w:val="9"/>
    <w:rPr>
      <w:rFonts w:ascii="Arial" w:hAnsi="Arial" w:eastAsia="Arial" w:cs="Arial"/>
      <w:b/>
      <w:bCs/>
      <w:sz w:val="22"/>
      <w:szCs w:val="22"/>
    </w:rPr>
  </w:style>
  <w:style w:type="character" w:styleId="715">
    <w:name w:val="Heading 7 Char"/>
    <w:basedOn w:val="735"/>
    <w:link w:val="73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6">
    <w:name w:val="Heading 8 Char"/>
    <w:basedOn w:val="735"/>
    <w:link w:val="733"/>
    <w:uiPriority w:val="9"/>
    <w:rPr>
      <w:rFonts w:ascii="Arial" w:hAnsi="Arial" w:eastAsia="Arial" w:cs="Arial"/>
      <w:i/>
      <w:iCs/>
      <w:sz w:val="22"/>
      <w:szCs w:val="22"/>
    </w:rPr>
  </w:style>
  <w:style w:type="character" w:styleId="717">
    <w:name w:val="Heading 9 Char"/>
    <w:basedOn w:val="735"/>
    <w:link w:val="734"/>
    <w:uiPriority w:val="9"/>
    <w:rPr>
      <w:rFonts w:ascii="Arial" w:hAnsi="Arial" w:eastAsia="Arial" w:cs="Arial"/>
      <w:i/>
      <w:iCs/>
      <w:sz w:val="21"/>
      <w:szCs w:val="21"/>
    </w:rPr>
  </w:style>
  <w:style w:type="character" w:styleId="718">
    <w:name w:val="Title Char"/>
    <w:basedOn w:val="735"/>
    <w:link w:val="749"/>
    <w:uiPriority w:val="10"/>
    <w:rPr>
      <w:sz w:val="48"/>
      <w:szCs w:val="48"/>
    </w:rPr>
  </w:style>
  <w:style w:type="character" w:styleId="719">
    <w:name w:val="Subtitle Char"/>
    <w:basedOn w:val="735"/>
    <w:link w:val="751"/>
    <w:uiPriority w:val="11"/>
    <w:rPr>
      <w:sz w:val="24"/>
      <w:szCs w:val="24"/>
    </w:rPr>
  </w:style>
  <w:style w:type="character" w:styleId="720">
    <w:name w:val="Quote Char"/>
    <w:link w:val="753"/>
    <w:uiPriority w:val="29"/>
    <w:rPr>
      <w:i/>
    </w:rPr>
  </w:style>
  <w:style w:type="character" w:styleId="721">
    <w:name w:val="Intense Quote Char"/>
    <w:link w:val="755"/>
    <w:uiPriority w:val="30"/>
    <w:rPr>
      <w:i/>
    </w:rPr>
  </w:style>
  <w:style w:type="character" w:styleId="722">
    <w:name w:val="Caption Char"/>
    <w:basedOn w:val="735"/>
    <w:link w:val="761"/>
    <w:uiPriority w:val="35"/>
    <w:rPr>
      <w:b/>
      <w:bCs/>
      <w:color w:val="4f81bd" w:themeColor="accent1"/>
      <w:sz w:val="18"/>
      <w:szCs w:val="18"/>
    </w:rPr>
  </w:style>
  <w:style w:type="character" w:styleId="723">
    <w:name w:val="Footnote Text Char"/>
    <w:link w:val="890"/>
    <w:uiPriority w:val="99"/>
    <w:rPr>
      <w:sz w:val="18"/>
    </w:rPr>
  </w:style>
  <w:style w:type="character" w:styleId="724">
    <w:name w:val="Endnote Text Char"/>
    <w:link w:val="893"/>
    <w:uiPriority w:val="99"/>
    <w:rPr>
      <w:sz w:val="20"/>
    </w:rPr>
  </w:style>
  <w:style w:type="paragraph" w:styleId="725" w:default="1">
    <w:name w:val="Normal"/>
    <w:qFormat/>
    <w:rPr>
      <w:lang w:eastAsia="ru-RU"/>
    </w:rPr>
  </w:style>
  <w:style w:type="paragraph" w:styleId="726">
    <w:name w:val="Heading 1"/>
    <w:basedOn w:val="725"/>
    <w:next w:val="725"/>
    <w:link w:val="738"/>
    <w:qFormat/>
    <w:pPr>
      <w:ind w:right="-1" w:firstLine="709"/>
      <w:jc w:val="both"/>
      <w:keepNext/>
      <w:outlineLvl w:val="0"/>
    </w:pPr>
    <w:rPr>
      <w:sz w:val="24"/>
    </w:rPr>
  </w:style>
  <w:style w:type="paragraph" w:styleId="727">
    <w:name w:val="Heading 2"/>
    <w:basedOn w:val="725"/>
    <w:next w:val="725"/>
    <w:link w:val="739"/>
    <w:qFormat/>
    <w:pPr>
      <w:ind w:right="-1"/>
      <w:jc w:val="both"/>
      <w:keepNext/>
      <w:outlineLvl w:val="1"/>
    </w:pPr>
    <w:rPr>
      <w:sz w:val="24"/>
    </w:rPr>
  </w:style>
  <w:style w:type="paragraph" w:styleId="728">
    <w:name w:val="Heading 3"/>
    <w:basedOn w:val="725"/>
    <w:next w:val="725"/>
    <w:link w:val="74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9">
    <w:name w:val="Heading 4"/>
    <w:basedOn w:val="725"/>
    <w:next w:val="725"/>
    <w:link w:val="7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0">
    <w:name w:val="Heading 5"/>
    <w:basedOn w:val="725"/>
    <w:next w:val="725"/>
    <w:link w:val="74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1">
    <w:name w:val="Heading 6"/>
    <w:basedOn w:val="725"/>
    <w:next w:val="725"/>
    <w:link w:val="74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2">
    <w:name w:val="Heading 7"/>
    <w:basedOn w:val="725"/>
    <w:next w:val="725"/>
    <w:link w:val="74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3">
    <w:name w:val="Heading 8"/>
    <w:basedOn w:val="725"/>
    <w:next w:val="725"/>
    <w:link w:val="74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4">
    <w:name w:val="Heading 9"/>
    <w:basedOn w:val="725"/>
    <w:next w:val="725"/>
    <w:link w:val="74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5" w:default="1">
    <w:name w:val="Default Paragraph Font"/>
    <w:uiPriority w:val="1"/>
    <w:semiHidden/>
    <w:unhideWhenUsed/>
  </w:style>
  <w:style w:type="table" w:styleId="7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7" w:default="1">
    <w:name w:val="No List"/>
    <w:uiPriority w:val="99"/>
    <w:semiHidden/>
    <w:unhideWhenUsed/>
  </w:style>
  <w:style w:type="character" w:styleId="738" w:customStyle="1">
    <w:name w:val="Заголовок 1 Знак"/>
    <w:link w:val="726"/>
    <w:uiPriority w:val="9"/>
    <w:rPr>
      <w:rFonts w:ascii="Arial" w:hAnsi="Arial" w:eastAsia="Arial" w:cs="Arial"/>
      <w:sz w:val="40"/>
      <w:szCs w:val="40"/>
    </w:rPr>
  </w:style>
  <w:style w:type="character" w:styleId="739" w:customStyle="1">
    <w:name w:val="Заголовок 2 Знак"/>
    <w:link w:val="727"/>
    <w:uiPriority w:val="9"/>
    <w:rPr>
      <w:rFonts w:ascii="Arial" w:hAnsi="Arial" w:eastAsia="Arial" w:cs="Arial"/>
      <w:sz w:val="34"/>
    </w:rPr>
  </w:style>
  <w:style w:type="character" w:styleId="740" w:customStyle="1">
    <w:name w:val="Заголовок 3 Знак"/>
    <w:link w:val="728"/>
    <w:uiPriority w:val="9"/>
    <w:rPr>
      <w:rFonts w:ascii="Arial" w:hAnsi="Arial" w:eastAsia="Arial" w:cs="Arial"/>
      <w:sz w:val="30"/>
      <w:szCs w:val="30"/>
    </w:rPr>
  </w:style>
  <w:style w:type="character" w:styleId="741" w:customStyle="1">
    <w:name w:val="Заголовок 4 Знак"/>
    <w:link w:val="729"/>
    <w:uiPriority w:val="9"/>
    <w:rPr>
      <w:rFonts w:ascii="Arial" w:hAnsi="Arial" w:eastAsia="Arial" w:cs="Arial"/>
      <w:b/>
      <w:bCs/>
      <w:sz w:val="26"/>
      <w:szCs w:val="26"/>
    </w:rPr>
  </w:style>
  <w:style w:type="character" w:styleId="742" w:customStyle="1">
    <w:name w:val="Заголовок 5 Знак"/>
    <w:link w:val="730"/>
    <w:uiPriority w:val="9"/>
    <w:rPr>
      <w:rFonts w:ascii="Arial" w:hAnsi="Arial" w:eastAsia="Arial" w:cs="Arial"/>
      <w:b/>
      <w:bCs/>
      <w:sz w:val="24"/>
      <w:szCs w:val="24"/>
    </w:rPr>
  </w:style>
  <w:style w:type="character" w:styleId="743" w:customStyle="1">
    <w:name w:val="Заголовок 6 Знак"/>
    <w:link w:val="731"/>
    <w:uiPriority w:val="9"/>
    <w:rPr>
      <w:rFonts w:ascii="Arial" w:hAnsi="Arial" w:eastAsia="Arial" w:cs="Arial"/>
      <w:b/>
      <w:bCs/>
      <w:sz w:val="22"/>
      <w:szCs w:val="22"/>
    </w:rPr>
  </w:style>
  <w:style w:type="character" w:styleId="744" w:customStyle="1">
    <w:name w:val="Заголовок 7 Знак"/>
    <w:link w:val="73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5" w:customStyle="1">
    <w:name w:val="Заголовок 8 Знак"/>
    <w:link w:val="733"/>
    <w:uiPriority w:val="9"/>
    <w:rPr>
      <w:rFonts w:ascii="Arial" w:hAnsi="Arial" w:eastAsia="Arial" w:cs="Arial"/>
      <w:i/>
      <w:iCs/>
      <w:sz w:val="22"/>
      <w:szCs w:val="22"/>
    </w:rPr>
  </w:style>
  <w:style w:type="character" w:styleId="746" w:customStyle="1">
    <w:name w:val="Заголовок 9 Знак"/>
    <w:link w:val="734"/>
    <w:uiPriority w:val="9"/>
    <w:rPr>
      <w:rFonts w:ascii="Arial" w:hAnsi="Arial" w:eastAsia="Arial" w:cs="Arial"/>
      <w:i/>
      <w:iCs/>
      <w:sz w:val="21"/>
      <w:szCs w:val="21"/>
    </w:rPr>
  </w:style>
  <w:style w:type="paragraph" w:styleId="747">
    <w:name w:val="List Paragraph"/>
    <w:basedOn w:val="725"/>
    <w:uiPriority w:val="34"/>
    <w:qFormat/>
    <w:pPr>
      <w:contextualSpacing/>
      <w:ind w:left="720"/>
    </w:pPr>
  </w:style>
  <w:style w:type="paragraph" w:styleId="748">
    <w:name w:val="No Spacing"/>
    <w:uiPriority w:val="1"/>
    <w:qFormat/>
  </w:style>
  <w:style w:type="paragraph" w:styleId="749">
    <w:name w:val="Title"/>
    <w:basedOn w:val="725"/>
    <w:next w:val="725"/>
    <w:link w:val="75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0" w:customStyle="1">
    <w:name w:val="Название Знак"/>
    <w:link w:val="749"/>
    <w:uiPriority w:val="10"/>
    <w:rPr>
      <w:sz w:val="48"/>
      <w:szCs w:val="48"/>
    </w:rPr>
  </w:style>
  <w:style w:type="paragraph" w:styleId="751">
    <w:name w:val="Subtitle"/>
    <w:basedOn w:val="725"/>
    <w:next w:val="725"/>
    <w:link w:val="752"/>
    <w:uiPriority w:val="11"/>
    <w:qFormat/>
    <w:pPr>
      <w:spacing w:before="200" w:after="200"/>
    </w:pPr>
    <w:rPr>
      <w:sz w:val="24"/>
      <w:szCs w:val="24"/>
    </w:rPr>
  </w:style>
  <w:style w:type="character" w:styleId="752" w:customStyle="1">
    <w:name w:val="Подзаголовок Знак"/>
    <w:link w:val="751"/>
    <w:uiPriority w:val="11"/>
    <w:rPr>
      <w:sz w:val="24"/>
      <w:szCs w:val="24"/>
    </w:rPr>
  </w:style>
  <w:style w:type="paragraph" w:styleId="753">
    <w:name w:val="Quote"/>
    <w:basedOn w:val="725"/>
    <w:next w:val="725"/>
    <w:link w:val="754"/>
    <w:uiPriority w:val="29"/>
    <w:qFormat/>
    <w:pPr>
      <w:ind w:left="720" w:right="720"/>
    </w:pPr>
    <w:rPr>
      <w:i/>
    </w:rPr>
  </w:style>
  <w:style w:type="character" w:styleId="754" w:customStyle="1">
    <w:name w:val="Цитата 2 Знак"/>
    <w:link w:val="753"/>
    <w:uiPriority w:val="29"/>
    <w:rPr>
      <w:i/>
    </w:rPr>
  </w:style>
  <w:style w:type="paragraph" w:styleId="755">
    <w:name w:val="Intense Quote"/>
    <w:basedOn w:val="725"/>
    <w:next w:val="725"/>
    <w:link w:val="75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6" w:customStyle="1">
    <w:name w:val="Выделенная цитата Знак"/>
    <w:link w:val="755"/>
    <w:uiPriority w:val="30"/>
    <w:rPr>
      <w:i/>
    </w:rPr>
  </w:style>
  <w:style w:type="paragraph" w:styleId="757">
    <w:name w:val="Header"/>
    <w:basedOn w:val="725"/>
    <w:link w:val="912"/>
    <w:uiPriority w:val="99"/>
    <w:pPr>
      <w:tabs>
        <w:tab w:val="center" w:pos="4153" w:leader="none"/>
        <w:tab w:val="right" w:pos="8306" w:leader="none"/>
      </w:tabs>
    </w:pPr>
  </w:style>
  <w:style w:type="character" w:styleId="758" w:customStyle="1">
    <w:name w:val="Header Char"/>
    <w:uiPriority w:val="99"/>
  </w:style>
  <w:style w:type="paragraph" w:styleId="759">
    <w:name w:val="Footer"/>
    <w:basedOn w:val="725"/>
    <w:link w:val="762"/>
    <w:pPr>
      <w:tabs>
        <w:tab w:val="center" w:pos="4153" w:leader="none"/>
        <w:tab w:val="right" w:pos="8306" w:leader="none"/>
      </w:tabs>
    </w:pPr>
  </w:style>
  <w:style w:type="character" w:styleId="760" w:customStyle="1">
    <w:name w:val="Footer Char"/>
    <w:uiPriority w:val="99"/>
  </w:style>
  <w:style w:type="paragraph" w:styleId="761">
    <w:name w:val="Caption"/>
    <w:basedOn w:val="725"/>
    <w:next w:val="725"/>
    <w:link w:val="722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62" w:customStyle="1">
    <w:name w:val="Нижний колонтитул Знак"/>
    <w:link w:val="759"/>
    <w:uiPriority w:val="99"/>
  </w:style>
  <w:style w:type="table" w:styleId="763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4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5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6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7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8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0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2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93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4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5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6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7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8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5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6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7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8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9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10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1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2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30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32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33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5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6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7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8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9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60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6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9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0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1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2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3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4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5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6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7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8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9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0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1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2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3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4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5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6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7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8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9">
    <w:name w:val="Hyperlink"/>
    <w:uiPriority w:val="99"/>
    <w:unhideWhenUsed/>
    <w:rPr>
      <w:color w:val="0000ff"/>
      <w:u w:val="single"/>
    </w:rPr>
  </w:style>
  <w:style w:type="paragraph" w:styleId="890">
    <w:name w:val="footnote text"/>
    <w:basedOn w:val="725"/>
    <w:link w:val="891"/>
    <w:uiPriority w:val="99"/>
    <w:semiHidden/>
    <w:unhideWhenUsed/>
    <w:pPr>
      <w:spacing w:after="40"/>
    </w:pPr>
    <w:rPr>
      <w:sz w:val="18"/>
    </w:rPr>
  </w:style>
  <w:style w:type="character" w:styleId="891" w:customStyle="1">
    <w:name w:val="Текст сноски Знак"/>
    <w:link w:val="890"/>
    <w:uiPriority w:val="99"/>
    <w:rPr>
      <w:sz w:val="18"/>
    </w:rPr>
  </w:style>
  <w:style w:type="character" w:styleId="892">
    <w:name w:val="footnote reference"/>
    <w:uiPriority w:val="99"/>
    <w:unhideWhenUsed/>
    <w:rPr>
      <w:vertAlign w:val="superscript"/>
    </w:rPr>
  </w:style>
  <w:style w:type="paragraph" w:styleId="893">
    <w:name w:val="endnote text"/>
    <w:basedOn w:val="725"/>
    <w:link w:val="894"/>
    <w:uiPriority w:val="99"/>
    <w:semiHidden/>
    <w:unhideWhenUsed/>
  </w:style>
  <w:style w:type="character" w:styleId="894" w:customStyle="1">
    <w:name w:val="Текст концевой сноски Знак"/>
    <w:link w:val="893"/>
    <w:uiPriority w:val="99"/>
    <w:rPr>
      <w:sz w:val="20"/>
    </w:rPr>
  </w:style>
  <w:style w:type="character" w:styleId="895">
    <w:name w:val="endnote reference"/>
    <w:uiPriority w:val="99"/>
    <w:semiHidden/>
    <w:unhideWhenUsed/>
    <w:rPr>
      <w:vertAlign w:val="superscript"/>
    </w:rPr>
  </w:style>
  <w:style w:type="paragraph" w:styleId="896">
    <w:name w:val="toc 1"/>
    <w:basedOn w:val="725"/>
    <w:next w:val="725"/>
    <w:uiPriority w:val="39"/>
    <w:unhideWhenUsed/>
    <w:pPr>
      <w:spacing w:after="57"/>
    </w:pPr>
  </w:style>
  <w:style w:type="paragraph" w:styleId="897">
    <w:name w:val="toc 2"/>
    <w:basedOn w:val="725"/>
    <w:next w:val="725"/>
    <w:uiPriority w:val="39"/>
    <w:unhideWhenUsed/>
    <w:pPr>
      <w:ind w:left="283"/>
      <w:spacing w:after="57"/>
    </w:pPr>
  </w:style>
  <w:style w:type="paragraph" w:styleId="898">
    <w:name w:val="toc 3"/>
    <w:basedOn w:val="725"/>
    <w:next w:val="725"/>
    <w:uiPriority w:val="39"/>
    <w:unhideWhenUsed/>
    <w:pPr>
      <w:ind w:left="567"/>
      <w:spacing w:after="57"/>
    </w:pPr>
  </w:style>
  <w:style w:type="paragraph" w:styleId="899">
    <w:name w:val="toc 4"/>
    <w:basedOn w:val="725"/>
    <w:next w:val="725"/>
    <w:uiPriority w:val="39"/>
    <w:unhideWhenUsed/>
    <w:pPr>
      <w:ind w:left="850"/>
      <w:spacing w:after="57"/>
    </w:pPr>
  </w:style>
  <w:style w:type="paragraph" w:styleId="900">
    <w:name w:val="toc 5"/>
    <w:basedOn w:val="725"/>
    <w:next w:val="725"/>
    <w:uiPriority w:val="39"/>
    <w:unhideWhenUsed/>
    <w:pPr>
      <w:ind w:left="1134"/>
      <w:spacing w:after="57"/>
    </w:pPr>
  </w:style>
  <w:style w:type="paragraph" w:styleId="901">
    <w:name w:val="toc 6"/>
    <w:basedOn w:val="725"/>
    <w:next w:val="725"/>
    <w:uiPriority w:val="39"/>
    <w:unhideWhenUsed/>
    <w:pPr>
      <w:ind w:left="1417"/>
      <w:spacing w:after="57"/>
    </w:pPr>
  </w:style>
  <w:style w:type="paragraph" w:styleId="902">
    <w:name w:val="toc 7"/>
    <w:basedOn w:val="725"/>
    <w:next w:val="725"/>
    <w:uiPriority w:val="39"/>
    <w:unhideWhenUsed/>
    <w:pPr>
      <w:ind w:left="1701"/>
      <w:spacing w:after="57"/>
    </w:pPr>
  </w:style>
  <w:style w:type="paragraph" w:styleId="903">
    <w:name w:val="toc 8"/>
    <w:basedOn w:val="725"/>
    <w:next w:val="725"/>
    <w:uiPriority w:val="39"/>
    <w:unhideWhenUsed/>
    <w:pPr>
      <w:ind w:left="1984"/>
      <w:spacing w:after="57"/>
    </w:pPr>
  </w:style>
  <w:style w:type="paragraph" w:styleId="904">
    <w:name w:val="toc 9"/>
    <w:basedOn w:val="725"/>
    <w:next w:val="725"/>
    <w:uiPriority w:val="39"/>
    <w:unhideWhenUsed/>
    <w:pPr>
      <w:ind w:left="2268"/>
      <w:spacing w:after="57"/>
    </w:pPr>
  </w:style>
  <w:style w:type="paragraph" w:styleId="905">
    <w:name w:val="TOC Heading"/>
    <w:uiPriority w:val="39"/>
    <w:unhideWhenUsed/>
  </w:style>
  <w:style w:type="paragraph" w:styleId="906">
    <w:name w:val="table of figures"/>
    <w:basedOn w:val="725"/>
    <w:next w:val="725"/>
    <w:uiPriority w:val="99"/>
    <w:unhideWhenUsed/>
  </w:style>
  <w:style w:type="paragraph" w:styleId="907">
    <w:name w:val="Body Text"/>
    <w:basedOn w:val="725"/>
    <w:link w:val="913"/>
    <w:pPr>
      <w:ind w:right="3117"/>
    </w:pPr>
    <w:rPr>
      <w:rFonts w:ascii="Courier New" w:hAnsi="Courier New"/>
      <w:sz w:val="26"/>
      <w:lang w:val="en-US" w:eastAsia="en-US"/>
    </w:rPr>
  </w:style>
  <w:style w:type="paragraph" w:styleId="908">
    <w:name w:val="Body Text Indent"/>
    <w:basedOn w:val="725"/>
    <w:pPr>
      <w:ind w:right="-1"/>
      <w:jc w:val="both"/>
    </w:pPr>
    <w:rPr>
      <w:sz w:val="26"/>
    </w:rPr>
  </w:style>
  <w:style w:type="character" w:styleId="909">
    <w:name w:val="page number"/>
    <w:basedOn w:val="735"/>
  </w:style>
  <w:style w:type="paragraph" w:styleId="910">
    <w:name w:val="Balloon Text"/>
    <w:basedOn w:val="725"/>
    <w:link w:val="911"/>
    <w:rPr>
      <w:rFonts w:ascii="Segoe UI" w:hAnsi="Segoe UI"/>
      <w:sz w:val="18"/>
      <w:szCs w:val="18"/>
      <w:lang w:val="en-US" w:eastAsia="en-US"/>
    </w:rPr>
  </w:style>
  <w:style w:type="character" w:styleId="911" w:customStyle="1">
    <w:name w:val="Текст выноски Знак"/>
    <w:link w:val="910"/>
    <w:rPr>
      <w:rFonts w:ascii="Segoe UI" w:hAnsi="Segoe UI" w:cs="Segoe UI"/>
      <w:sz w:val="18"/>
      <w:szCs w:val="18"/>
    </w:rPr>
  </w:style>
  <w:style w:type="character" w:styleId="912" w:customStyle="1">
    <w:name w:val="Верхний колонтитул Знак"/>
    <w:link w:val="757"/>
    <w:uiPriority w:val="99"/>
  </w:style>
  <w:style w:type="character" w:styleId="913" w:customStyle="1">
    <w:name w:val="Основной текст Знак"/>
    <w:link w:val="907"/>
    <w:rPr>
      <w:rFonts w:ascii="Courier New" w:hAnsi="Courier New"/>
      <w:sz w:val="26"/>
    </w:rPr>
  </w:style>
  <w:style w:type="paragraph" w:styleId="914" w:customStyle="1">
    <w:name w:val="ConsPlusNormal"/>
    <w:rPr>
      <w:sz w:val="28"/>
      <w:szCs w:val="2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15</cp:revision>
  <dcterms:created xsi:type="dcterms:W3CDTF">2024-10-11T09:49:00Z</dcterms:created>
  <dcterms:modified xsi:type="dcterms:W3CDTF">2026-05-26T12:49:33Z</dcterms:modified>
  <cp:version>983040</cp:version>
</cp:coreProperties>
</file>