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495300"/>
                                        <wp:effectExtent l="0" t="0" r="9525" b="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495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5pt;height:39.00pt;mso-wrap-distance-left:0.00pt;mso-wrap-distance-top:0.00pt;mso-wrap-distance-right:0.00pt;mso-wrap-distance-bottom:0.00pt;" stroked="f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05.06.2026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341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72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5pt;height:39.00pt;mso-wrap-distance-left:0.00pt;mso-wrap-distance-top:0.00pt;mso-wrap-distance-right:0.00pt;mso-wrap-distance-bottom:0.00pt;" stroked="f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05.06.2026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341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3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br/>
        <w:t xml:space="preserve">в Порядок </w:t>
      </w:r>
      <w:r>
        <w:rPr>
          <w:b/>
          <w:bCs/>
        </w:rPr>
        <w:t xml:space="preserve">определения </w:t>
      </w:r>
      <w:r>
        <w:rPr>
          <w:b/>
          <w:bCs/>
        </w:rPr>
        <w:br/>
        <w:t xml:space="preserve">объема и условий предоставления </w:t>
      </w:r>
      <w:r>
        <w:rPr>
          <w:b/>
          <w:bCs/>
        </w:rPr>
        <w:br/>
        <w:t xml:space="preserve">субсидий на иные цели бюджетным </w:t>
      </w:r>
      <w:r>
        <w:rPr>
          <w:b/>
          <w:bCs/>
        </w:rPr>
        <w:br/>
        <w:t xml:space="preserve">и автономным учреждениям </w:t>
      </w:r>
      <w:r>
        <w:rPr>
          <w:b/>
          <w:bCs/>
        </w:rPr>
        <w:br/>
        <w:t xml:space="preserve">на оснащение вновь вводимых </w:t>
      </w:r>
      <w:r>
        <w:rPr>
          <w:b/>
          <w:bCs/>
        </w:rPr>
      </w:r>
      <w:r>
        <w:rPr>
          <w:b/>
          <w:bCs/>
        </w:rPr>
      </w:r>
    </w:p>
    <w:p>
      <w:pPr>
        <w:pStyle w:val="893"/>
        <w:spacing w:line="240" w:lineRule="exact"/>
        <w:rPr>
          <w:b/>
          <w:bCs/>
        </w:rPr>
      </w:pPr>
      <w:r>
        <w:rPr>
          <w:b/>
          <w:bCs/>
        </w:rPr>
        <w:t xml:space="preserve">в эксплуатацию зданий </w:t>
      </w:r>
      <w:r>
        <w:rPr>
          <w:b/>
          <w:bCs/>
        </w:rPr>
      </w:r>
      <w:r>
        <w:rPr>
          <w:b/>
          <w:bCs/>
        </w:rPr>
      </w:r>
    </w:p>
    <w:p>
      <w:pPr>
        <w:pStyle w:val="893"/>
        <w:spacing w:line="240" w:lineRule="exact"/>
        <w:rPr>
          <w:b/>
          <w:bCs/>
        </w:rPr>
      </w:pPr>
      <w:r>
        <w:rPr>
          <w:b/>
          <w:bCs/>
        </w:rPr>
        <w:t xml:space="preserve">для размещения образовательных </w:t>
      </w:r>
      <w:r>
        <w:rPr>
          <w:b/>
          <w:bCs/>
        </w:rPr>
      </w:r>
      <w:r>
        <w:rPr>
          <w:b/>
          <w:bCs/>
        </w:rPr>
      </w:r>
    </w:p>
    <w:p>
      <w:pPr>
        <w:pStyle w:val="893"/>
        <w:spacing w:line="240" w:lineRule="exact"/>
        <w:rPr>
          <w:b/>
        </w:rPr>
      </w:pPr>
      <w:r>
        <w:rPr>
          <w:b/>
          <w:bCs/>
        </w:rPr>
        <w:t xml:space="preserve">организаций, </w:t>
      </w:r>
      <w:r>
        <w:rPr>
          <w:b/>
        </w:rPr>
        <w:t xml:space="preserve">утвержденный</w:t>
      </w:r>
      <w:r>
        <w:rPr>
          <w:b/>
        </w:rPr>
      </w:r>
      <w:r>
        <w:rPr>
          <w:b/>
        </w:rPr>
      </w:r>
    </w:p>
    <w:p>
      <w:pPr>
        <w:pStyle w:val="893"/>
        <w:spacing w:line="240" w:lineRule="exact"/>
        <w:rPr>
          <w:b/>
        </w:rPr>
      </w:pPr>
      <w:r>
        <w:rPr>
          <w:b/>
        </w:rPr>
        <w:t xml:space="preserve">постановлением администрации</w:t>
      </w:r>
      <w:r>
        <w:rPr>
          <w:b/>
        </w:rPr>
        <w:br/>
        <w:t xml:space="preserve">города Перми от 24.03.2021 № 191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Федерации,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Правительства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22 февраля 2020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203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города Перми,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>
        <w:rPr>
          <w:sz w:val="28"/>
          <w:szCs w:val="28"/>
        </w:rPr>
        <w:t xml:space="preserve">в целях актуализации нормативной правовой базы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</w:t>
      </w:r>
      <w:r>
        <w:rPr>
          <w:sz w:val="28"/>
          <w:szCs w:val="28"/>
        </w:rPr>
        <w:t xml:space="preserve">Внести в Порядок определения объема </w:t>
      </w:r>
      <w:r>
        <w:rPr>
          <w:sz w:val="28"/>
          <w:szCs w:val="28"/>
        </w:rPr>
        <w:t xml:space="preserve">и условий предоставления субсидий на иные цели бюджетным и автономным учреждениям на оснащение вновь вводимых в эксплуатацию зданий для размещения образовательных организаций, утвержденный постановлением администрации города Перми от 24 марта 2021 г. № 191</w:t>
      </w:r>
      <w:r>
        <w:rPr>
          <w:bCs/>
          <w:sz w:val="28"/>
          <w:szCs w:val="28"/>
        </w:rPr>
        <w:t xml:space="preserve"> (в ред. от 28.04.2021 № 314, от 02.06.2021 № 395, от 20.05.2022 № 390, </w:t>
      </w:r>
      <w:r>
        <w:rPr>
          <w:bCs/>
          <w:sz w:val="28"/>
          <w:szCs w:val="28"/>
        </w:rPr>
        <w:br/>
        <w:t xml:space="preserve">от 23.06.2022 № 517, от 13.07.2022 № 603, от 16.02.2023 № 114, от 11.08.2023 </w:t>
      </w:r>
      <w:r>
        <w:rPr>
          <w:bCs/>
          <w:sz w:val="28"/>
          <w:szCs w:val="28"/>
        </w:rPr>
        <w:br/>
        <w:t xml:space="preserve">№ 692, от 17.10.2023 № 1059, от 15.11.2023 № 1254),</w:t>
      </w:r>
      <w:r>
        <w:t xml:space="preserve"> </w:t>
      </w:r>
      <w:r>
        <w:rPr>
          <w:bCs/>
          <w:sz w:val="28"/>
          <w:szCs w:val="28"/>
        </w:rPr>
        <w:t xml:space="preserve">следующие изменения: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пункт 1.2 признать утратившим силу;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в пункте 1.3 слова «Развитие сети образовательных организаций города Перми» заменить словами «Доступное и качественное образование»;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пункте 1.5 слова «на 2023 год, в рамках реализ</w:t>
      </w:r>
      <w:r>
        <w:rPr>
          <w:bCs/>
          <w:sz w:val="28"/>
          <w:szCs w:val="28"/>
        </w:rPr>
        <w:t xml:space="preserve">ации мероприятий муниципальной программы «Развитие сети образовательных организаций города Перми» заменить словами «на текущий финансовый год и плановый период, в рамках реализации мероприятий муниципальной программы «Доступное и качественное образование»;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разделы 2, 3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II. Условия и порядок предоставления субсидий на иные цели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Для получения субсидий на иные цели Учреждения представляют на бумажном носителе в Департамент: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пояснительную записку, содержащую обоснование необходимости предоставления субсидий на иные цели;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расчет-обоснование суммы субсидий на иные цели согласно приложению 1 к настоящему Порядку;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информацию о планируемом к приобретению имуществе </w:t>
      </w:r>
      <w:r>
        <w:rPr>
          <w:sz w:val="28"/>
          <w:szCs w:val="28"/>
        </w:rPr>
        <w:t xml:space="preserve">с обоснованием цены планируемого к приобретению имущества на основании прайс-листов, коммерческих предложений с приложением не менее трех источников ценовой информации;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документы, подтверждающие отсутствие у Учреждений задолженности по уплате налогов, сборов и иных обязательных платежей в бюджеты бюджетной системы Российской Федерации.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На дату, предшествующую дате представления документов, указанных в пункте 2.1 настоящего Порядка, не более чем на 1 месяц, Учреждения должны соответствовать следующим требованиям: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отсутствие просроченной задолженности по возврату в бюджет города Перми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Перми.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Для рассмотрения и оценки документов, представляемых Учреждениями Департаменту для получения субсидий на иные цели, создается комиссия, состоящая </w:t>
      </w:r>
      <w:r>
        <w:rPr>
          <w:bCs/>
          <w:sz w:val="28"/>
          <w:szCs w:val="28"/>
        </w:rPr>
        <w:t xml:space="preserve">из числа му</w:t>
      </w:r>
      <w:r>
        <w:rPr>
          <w:bCs/>
          <w:sz w:val="28"/>
          <w:szCs w:val="28"/>
        </w:rPr>
        <w:t xml:space="preserve">ниципальных служащих Департамента и директора муниципального казенного учреждения «Центр бухгалтерского учета и отчетности в сфере образования» города Перми (далее − Комиссия). Положение о комиссии и ее состав утверждаются приказом начальника Департамента.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Рассмотрение и оценка документов на полноту их представления в соответствии с пунктом 2.1 настоящего Порядка осуществляются Комиссией в течение </w:t>
      </w:r>
      <w:r>
        <w:rPr>
          <w:bCs/>
          <w:sz w:val="28"/>
          <w:szCs w:val="28"/>
        </w:rPr>
        <w:br/>
        <w:t xml:space="preserve">20 рабочих дней с даты их представления.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Комиссия</w:t>
      </w:r>
      <w:r>
        <w:rPr>
          <w:bCs/>
          <w:sz w:val="28"/>
          <w:szCs w:val="28"/>
        </w:rPr>
        <w:t xml:space="preserve"> со дня рассмотрения документов, указанных в пункте 2.1 настоящего Порядка, принимает решение о предоставлении субсидий на иные цели или об отказе в предоставлении субсидий на иные цели, либо необходимости представления Учреждением недостающих документов.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Комиссия после принятия решения о предоставлении субсидий на иные цели: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определяет размер субсидий на иные цели для Учреждений в соответствии </w:t>
      </w:r>
      <w:r>
        <w:rPr>
          <w:bCs/>
          <w:sz w:val="28"/>
          <w:szCs w:val="28"/>
        </w:rPr>
        <w:br/>
        <w:t xml:space="preserve">с представленными документами;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оформляет протокол, который подписывается всеми членами Комиссии </w:t>
      </w:r>
      <w:r>
        <w:rPr>
          <w:bCs/>
          <w:sz w:val="28"/>
          <w:szCs w:val="28"/>
        </w:rPr>
        <w:br/>
        <w:t xml:space="preserve">в день принятия решения (далее − протокол).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Депа</w:t>
      </w:r>
      <w:r>
        <w:rPr>
          <w:bCs/>
          <w:sz w:val="28"/>
          <w:szCs w:val="28"/>
        </w:rPr>
        <w:t xml:space="preserve">ртамент в течение 10 рабочих дней со дня подписания протокола обеспечивает подготовку и подписание приказа, устанавливающего размер субсидий на иные цели для Учреждений в соответствии с указанным протоколом (далее − Приказ об утверждении размера субсидии).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Основания для отказа Учреждениям в предоставлении субсидий на иные цели: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несоответствие представленных Учреждениями документов требованиям, определенным в соответствии с пунктом 2.1 настоящего Порядка, или непредставление (представление не в полном объеме) указанных документов;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недостоверность информации, содержащейся в документах, представленных Учреждениями в соответствии с пунктом 2.1 настоящего Порядка.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принятия Комиссией решения об отказе в предоставлении субсидий на иные цели Учреждение вправе повторно представить в Департамент документы в соответствии с пунктом 2.1 настоящего Порядка.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Размер субсидий на иные цели определяется для: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дошкольного образовательного учреждения исходя из размера расчетного показателя по оснащению оборудованием, средствами обучения и воспитания, мебелью, инвентарем вно</w:t>
      </w:r>
      <w:r>
        <w:rPr>
          <w:bCs/>
          <w:sz w:val="28"/>
          <w:szCs w:val="28"/>
        </w:rPr>
        <w:t xml:space="preserve">вь созданных мест для обучающихся по основным общеобразовательным программам дошкольного образования на соответствующий год и плановый период, утвержденного постановлением администрации города Перми от 05 апреля 2022 г. № 251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Методики определения расчетных показателей, размера расчетного показателя по оснащению оборудованием, средствами обучения и воспитания, мебелью, инвентарем вновь созданных мест для обучающихся по основным общеобразовательным программам дошко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льного образования и примерного перечня оборудования, средств обучения и воспитания, мебели, инвентаря, необходимого для определения размера расчетного показателя по оснащению оборудованием, средствами обучения и воспитания, мебелью, инвентарем вновь созда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нных мест для обучающихся по основным общеобразовательным программам дошкольного образования, в муниципальных образовательных организациях города Перми</w:t>
      </w:r>
      <w:r>
        <w:rPr>
          <w:bCs/>
          <w:sz w:val="28"/>
          <w:szCs w:val="28"/>
        </w:rPr>
        <w:t xml:space="preserve">», и проектной мощности здания;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sz w:val="28"/>
          <w:szCs w:val="28"/>
        </w:rPr>
        <w:t xml:space="preserve">общеобразовательного учреждения исходя из размера расчетного показателя по оснащению оборудованием, средствами обучения, мебелью, инвентарем вновь созданных мест для обучающихся по основ</w:t>
      </w:r>
      <w:r>
        <w:rPr>
          <w:bCs/>
          <w:sz w:val="28"/>
          <w:szCs w:val="28"/>
        </w:rPr>
        <w:t xml:space="preserve">ным общеобразовательным программам начального общего, основного общего и среднего общего образования на соответствующий год и плановый период, утвержденного постановлением администрации города Перми от 25 апреля 2018 г. № 250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Методики определения расчетных показателей, размера расчетного показателя по оснащению оборудованием, средствами обучения, мебелью, инвентарем вновь созданных мест для обучающихся по основным общеобразовательным программам начального общего,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основного общего и среднего общего образования и примерного перечня оборудования, средств обучения, мебели, инвентаря, необходимого для определения размера расчетного показателя по оснащению оборудованием, средствами обучения, мебелью, инвентарем вновь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зданных мест для обучающихся по основным общеобразовательным программам начального общего, основного общего и среднего общего образования в муниципальных образовательных организациях города Перми</w:t>
      </w:r>
      <w:r>
        <w:rPr>
          <w:bCs/>
          <w:sz w:val="28"/>
          <w:szCs w:val="28"/>
        </w:rPr>
        <w:t xml:space="preserve">», и проектной мощности здания. 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При необходимости изменения объемов субсидий на иные цели в течение текущего года Учреждения ежеквартально направляют в Департамент документы, указанные в абзацах втором-пятом пункта 2.1 настоящего Порядка, в следующие сроки: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I-III кварталы − до 30 числа месяца, следующего за кварталом;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IV квартал − до 01 декабря текущего года.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2.7. Субсидии на иные цели предоставляются в соответствии с соглашением о предоставлении субсидии из бюджета города Перми (д</w:t>
      </w:r>
      <w:r>
        <w:rPr>
          <w:bCs/>
          <w:sz w:val="28"/>
          <w:szCs w:val="28"/>
        </w:rPr>
        <w:t xml:space="preserve">алее − Соглашение), заключенным между Департаментом и Учреждением по типовой форме, утвержденной распоряжением начальника департамента финансов администрации города Перми (далее − типовая форма), не позднее 10 рабочих дней со дня вступления в силу Приказа.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2.8. Условиями заключения Соглашения являются: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соответствие Учреждений требованиям, установленным </w:t>
      </w:r>
      <w:hyperlink r:id="rId14" w:tooltip="https://login.consultant.ru/link/?req=doc&amp;base=RLAW368&amp;n=213972&amp;dst=7&amp;field=134&amp;date=29.04.2026" w:history="1">
        <w:r>
          <w:rPr>
            <w:bCs/>
            <w:sz w:val="28"/>
            <w:szCs w:val="28"/>
          </w:rPr>
          <w:t xml:space="preserve">пунктом 2.2</w:t>
        </w:r>
      </w:hyperlink>
      <w:r>
        <w:rPr>
          <w:bCs/>
          <w:sz w:val="28"/>
          <w:szCs w:val="28"/>
        </w:rPr>
        <w:t xml:space="preserve"> настоящего Порядка;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наличие бюджетных ассигнований для предоставления субсидий на иные цели в решении Пермской городской Думы о бюджете города Перми на текущий финансовый год и плановый период, в муниципальной программе «Доступное </w:t>
      </w:r>
      <w:r>
        <w:rPr>
          <w:bCs/>
          <w:sz w:val="28"/>
          <w:szCs w:val="28"/>
        </w:rPr>
        <w:br/>
        <w:t xml:space="preserve">и качественное образование».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2.9. Внесение изменений в Соглашения.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внесении изменений в настоящий Порядок, муниципальную программу «Доступное и качественное образование», сводную бюджетную роспись, Приказ, </w:t>
      </w:r>
      <w:r>
        <w:rPr>
          <w:bCs/>
          <w:sz w:val="28"/>
          <w:szCs w:val="28"/>
        </w:rPr>
        <w:t xml:space="preserve">требующих внесения изменений в Соглашение, дополнительные соглашения заключаются в течение 10 рабочих дней со дня вступления в силу изменений </w:t>
      </w:r>
      <w:r>
        <w:rPr>
          <w:bCs/>
          <w:sz w:val="28"/>
          <w:szCs w:val="28"/>
        </w:rPr>
        <w:br/>
        <w:t xml:space="preserve">в указанные правовые акты.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типовой формой.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2.10. Субсидии на иные цели перечисляются Учреждениям в сроки, установленные Соглашением. Периодичность перечисления субсидий на иные цели − </w:t>
      </w:r>
      <w:r>
        <w:rPr>
          <w:bCs/>
          <w:sz w:val="28"/>
          <w:szCs w:val="28"/>
        </w:rPr>
        <w:br/>
        <w:t xml:space="preserve">в течение года после представления документов, подтверждающих возникновение денежных обязательств.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Ведение бухгалтерского учета по предоставленным субсидиям на иные цели осуществляется с применением аналитических кодов счетов бухгалтерского учета.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2.11. Субсидии на иные цели Учреждениям предоставляются путем перечисления Департаментом денежных средств на отдельные лицевые счета Учреждений, открытые в департаменте финансов администрации города Перми в установленном порядке.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2.12. Средства, предоставляемые Учреждениям в виде субсидий на иные цели, расходуются в соответствии с их целевым назначением и не могут быть направлены на другие цели.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</w:t>
      </w:r>
      <w:r>
        <w:rPr>
          <w:bCs/>
          <w:sz w:val="28"/>
          <w:szCs w:val="28"/>
        </w:rPr>
        <w:t xml:space="preserve">13. Результатом предоставления субсидий на иные цели является количество Учреждений, для которых приобретаются оборудование, средства обучения и воспитания, мебель, инвентарь в соответствии с муниципальной программой «Доступное и качественное образование».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результата предоставления субсидий на иные цели Соглашением устанавливается план мероприятий по достижению результата предоставления субсидий на иные цели.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5"/>
        <w:jc w:val="center"/>
        <w:spacing w:line="240" w:lineRule="exac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III. Требования к отчетности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3.1. Учреждения представляют в Департамент следующую отчетность </w:t>
      </w:r>
      <w:r>
        <w:rPr>
          <w:sz w:val="28"/>
        </w:rPr>
        <w:br/>
        <w:t xml:space="preserve">(далее – Отчеты):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3.1.1. ежеквартально до 15 числа месяца (за год </w:t>
      </w:r>
      <w:r>
        <w:rPr>
          <w:sz w:val="28"/>
          <w:szCs w:val="28"/>
        </w:rPr>
        <w:t xml:space="preserve">− </w:t>
      </w:r>
      <w:r>
        <w:rPr>
          <w:sz w:val="28"/>
        </w:rPr>
        <w:t xml:space="preserve">до 25 числа месяца), следующего за отчетным, по форме, установленной типовой формой: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отчет о расходах, источником финансового обеспечения которых являются субсидии на иные цели;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отчет о достижении значений результатов предоставления субсидий на иные цели;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3.1.2. ежеквартально до 10 числа месяца, следующего за отчет</w:t>
      </w:r>
      <w:r>
        <w:rPr>
          <w:sz w:val="28"/>
        </w:rPr>
        <w:t xml:space="preserve">ным, и не позднее 10 рабочего дня после достижения конечного значения результата предоставления субсидии по форме, установленной приложением 3 к Порядку проведения мониторинга достижения результатов предоставления субсидий, в том числе грантов в форме субс</w:t>
      </w:r>
      <w:r>
        <w:rPr>
          <w:sz w:val="28"/>
        </w:rPr>
        <w:t xml:space="preserve">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 от 27 апреля 2024 г. № 53н: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отчет о реализации плана мероприятий по достижению результатов предоставления субсидий на иные цели.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3.2. Ответственность за своевременность представления Отчетов и достоверность отчетных данных возлагается на руководителей Учреждений.»;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1.5. в пункте 4.1 слово «уполномоченный» исключить;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1.6. дополнить пунктом 4.1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 следующего содержания: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«4.1</w:t>
      </w:r>
      <w:r>
        <w:rPr>
          <w:sz w:val="28"/>
          <w:vertAlign w:val="superscript"/>
        </w:rPr>
        <w:t xml:space="preserve">1</w:t>
      </w:r>
      <w:r>
        <w:rPr>
          <w:sz w:val="28"/>
        </w:rPr>
        <w:t xml:space="preserve">. Департамент проводит монитори</w:t>
      </w:r>
      <w:r>
        <w:rPr>
          <w:sz w:val="28"/>
        </w:rPr>
        <w:t xml:space="preserve">нг достижения значений результатов предоставления субсидий на иные цели, определенных Соглашением, и событий, отражающих факт завершения соответствующего мероприятия по получению результата предоставления субсидий на иные цели (контрольная точка), в порядк</w:t>
      </w:r>
      <w:r>
        <w:rPr>
          <w:sz w:val="28"/>
        </w:rPr>
        <w:t xml:space="preserve">е и по формам, которые установлены Порядком проведения мониторинга достижения результатов предоставления субсидии на иные цели, утвержденным приказом Министерства финансов Российской Федерации от 27 апреля 2024 г. № 53н «Об утверждении Порядка проведения м</w:t>
      </w:r>
      <w:r>
        <w:rPr>
          <w:sz w:val="28"/>
        </w:rPr>
        <w:t xml:space="preserve">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услуг».»;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1.7. в пункте 4.3: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1.7.1. в абзаце первом слово «уполномоченным» исключить;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1.7.2. в абзаце третьем слово «уполномоченного» исключить;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1.8. приложение 2 признать утратившим силу.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40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8" w:header="397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9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3 Char"/>
    <w:basedOn w:val="711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>
    <w:name w:val="Heading 4 Char"/>
    <w:basedOn w:val="71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>
    <w:name w:val="Heading 5 Char"/>
    <w:basedOn w:val="711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>
    <w:name w:val="Heading 6 Char"/>
    <w:basedOn w:val="711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>
    <w:name w:val="Heading 7 Char"/>
    <w:basedOn w:val="711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8 Char"/>
    <w:basedOn w:val="711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>
    <w:name w:val="Heading 9 Char"/>
    <w:basedOn w:val="711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4">
    <w:name w:val="Title Char"/>
    <w:basedOn w:val="711"/>
    <w:link w:val="725"/>
    <w:uiPriority w:val="10"/>
    <w:rPr>
      <w:sz w:val="48"/>
      <w:szCs w:val="48"/>
    </w:rPr>
  </w:style>
  <w:style w:type="character" w:styleId="695">
    <w:name w:val="Subtitle Char"/>
    <w:basedOn w:val="711"/>
    <w:link w:val="727"/>
    <w:uiPriority w:val="11"/>
    <w:rPr>
      <w:sz w:val="24"/>
      <w:szCs w:val="24"/>
    </w:rPr>
  </w:style>
  <w:style w:type="character" w:styleId="696">
    <w:name w:val="Quote Char"/>
    <w:link w:val="729"/>
    <w:uiPriority w:val="29"/>
    <w:rPr>
      <w:i/>
    </w:rPr>
  </w:style>
  <w:style w:type="character" w:styleId="697">
    <w:name w:val="Intense Quote Char"/>
    <w:link w:val="731"/>
    <w:uiPriority w:val="30"/>
    <w:rPr>
      <w:i/>
    </w:rPr>
  </w:style>
  <w:style w:type="character" w:styleId="698">
    <w:name w:val="Caption Char"/>
    <w:basedOn w:val="711"/>
    <w:link w:val="881"/>
    <w:uiPriority w:val="35"/>
    <w:rPr>
      <w:b/>
      <w:bCs/>
      <w:color w:val="4f81bd" w:themeColor="accent1"/>
      <w:sz w:val="18"/>
      <w:szCs w:val="18"/>
    </w:rPr>
  </w:style>
  <w:style w:type="character" w:styleId="699">
    <w:name w:val="Footnote Text Char"/>
    <w:link w:val="862"/>
    <w:uiPriority w:val="99"/>
    <w:rPr>
      <w:sz w:val="18"/>
    </w:rPr>
  </w:style>
  <w:style w:type="character" w:styleId="700">
    <w:name w:val="Endnote Text Char"/>
    <w:link w:val="865"/>
    <w:uiPriority w:val="99"/>
    <w:rPr>
      <w:sz w:val="20"/>
    </w:rPr>
  </w:style>
  <w:style w:type="paragraph" w:styleId="701" w:default="1">
    <w:name w:val="Normal"/>
    <w:qFormat/>
  </w:style>
  <w:style w:type="paragraph" w:styleId="702">
    <w:name w:val="Heading 1"/>
    <w:basedOn w:val="701"/>
    <w:next w:val="701"/>
    <w:link w:val="879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880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05">
    <w:name w:val="Heading 4"/>
    <w:basedOn w:val="701"/>
    <w:next w:val="701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6">
    <w:name w:val="Heading 5"/>
    <w:basedOn w:val="701"/>
    <w:next w:val="701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7">
    <w:name w:val="Heading 6"/>
    <w:basedOn w:val="701"/>
    <w:next w:val="701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8">
    <w:name w:val="Heading 7"/>
    <w:basedOn w:val="701"/>
    <w:next w:val="701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0">
    <w:name w:val="Heading 9"/>
    <w:basedOn w:val="701"/>
    <w:next w:val="701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Liberation Sans" w:hAnsi="Liberation Sans" w:eastAsia="Liberation Sans" w:cs="Liberation Sans"/>
      <w:sz w:val="34"/>
    </w:rPr>
  </w:style>
  <w:style w:type="character" w:styleId="716" w:customStyle="1">
    <w:name w:val="Заголовок 3 Знак"/>
    <w:basedOn w:val="711"/>
    <w:link w:val="70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7" w:customStyle="1">
    <w:name w:val="Заголовок 4 Знак"/>
    <w:basedOn w:val="711"/>
    <w:link w:val="70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8" w:customStyle="1">
    <w:name w:val="Заголовок 5 Знак"/>
    <w:basedOn w:val="711"/>
    <w:link w:val="70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9" w:customStyle="1">
    <w:name w:val="Заголовок 6 Знак"/>
    <w:basedOn w:val="711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0" w:customStyle="1">
    <w:name w:val="Заголовок 7 Знак"/>
    <w:basedOn w:val="711"/>
    <w:link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1" w:customStyle="1">
    <w:name w:val="Заголовок 8 Знак"/>
    <w:basedOn w:val="711"/>
    <w:link w:val="70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2" w:customStyle="1">
    <w:name w:val="Заголовок 9 Знак"/>
    <w:basedOn w:val="711"/>
    <w:link w:val="71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3">
    <w:name w:val="List Paragraph"/>
    <w:basedOn w:val="701"/>
    <w:uiPriority w:val="34"/>
    <w:qFormat/>
    <w:pPr>
      <w:contextualSpacing/>
      <w:ind w:left="720"/>
    </w:pPr>
  </w:style>
  <w:style w:type="paragraph" w:styleId="724">
    <w:name w:val="No Spacing"/>
    <w:uiPriority w:val="1"/>
    <w:qFormat/>
  </w:style>
  <w:style w:type="paragraph" w:styleId="725">
    <w:name w:val="Title"/>
    <w:basedOn w:val="701"/>
    <w:next w:val="701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 w:customStyle="1">
    <w:name w:val="Название Знак"/>
    <w:basedOn w:val="711"/>
    <w:link w:val="725"/>
    <w:uiPriority w:val="10"/>
    <w:rPr>
      <w:sz w:val="48"/>
      <w:szCs w:val="48"/>
    </w:rPr>
  </w:style>
  <w:style w:type="paragraph" w:styleId="727">
    <w:name w:val="Subtitle"/>
    <w:basedOn w:val="701"/>
    <w:next w:val="701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 w:customStyle="1">
    <w:name w:val="Подзаголовок Знак"/>
    <w:basedOn w:val="711"/>
    <w:link w:val="727"/>
    <w:uiPriority w:val="11"/>
    <w:rPr>
      <w:sz w:val="24"/>
      <w:szCs w:val="24"/>
    </w:rPr>
  </w:style>
  <w:style w:type="paragraph" w:styleId="729">
    <w:name w:val="Quote"/>
    <w:basedOn w:val="701"/>
    <w:next w:val="701"/>
    <w:link w:val="730"/>
    <w:uiPriority w:val="29"/>
    <w:qFormat/>
    <w:pPr>
      <w:ind w:left="720" w:right="720"/>
    </w:pPr>
    <w:rPr>
      <w:i/>
    </w:rPr>
  </w:style>
  <w:style w:type="character" w:styleId="730" w:customStyle="1">
    <w:name w:val="Цитата 2 Знак"/>
    <w:link w:val="729"/>
    <w:uiPriority w:val="29"/>
    <w:rPr>
      <w:i/>
    </w:rPr>
  </w:style>
  <w:style w:type="paragraph" w:styleId="731">
    <w:name w:val="Intense Quote"/>
    <w:basedOn w:val="701"/>
    <w:next w:val="701"/>
    <w:link w:val="73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 w:customStyle="1">
    <w:name w:val="Выделенная цитата Знак"/>
    <w:link w:val="731"/>
    <w:uiPriority w:val="30"/>
    <w:rPr>
      <w:i/>
    </w:rPr>
  </w:style>
  <w:style w:type="character" w:styleId="733" w:customStyle="1">
    <w:name w:val="Header Char"/>
    <w:basedOn w:val="711"/>
    <w:uiPriority w:val="99"/>
  </w:style>
  <w:style w:type="character" w:styleId="734" w:customStyle="1">
    <w:name w:val="Footer Char"/>
    <w:basedOn w:val="711"/>
    <w:uiPriority w:val="99"/>
  </w:style>
  <w:style w:type="character" w:styleId="735" w:customStyle="1">
    <w:name w:val="Название объекта Знак"/>
    <w:basedOn w:val="711"/>
    <w:link w:val="881"/>
    <w:uiPriority w:val="35"/>
    <w:rPr>
      <w:b/>
      <w:bCs/>
      <w:color w:val="5b9bd5" w:themeColor="accent1"/>
      <w:sz w:val="18"/>
      <w:szCs w:val="18"/>
    </w:rPr>
  </w:style>
  <w:style w:type="table" w:styleId="736">
    <w:name w:val="Table Grid"/>
    <w:basedOn w:val="7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7" w:customStyle="1">
    <w:name w:val="Table Grid Light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8">
    <w:name w:val="Plain Table 1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9">
    <w:name w:val="Plain Table 2"/>
    <w:basedOn w:val="7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0">
    <w:name w:val="Plain Table 3"/>
    <w:basedOn w:val="71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6" w:customStyle="1">
    <w:name w:val="Grid Table 4 - Accent 2"/>
    <w:basedOn w:val="71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7" w:customStyle="1">
    <w:name w:val="Grid Table 4 - Accent 3"/>
    <w:basedOn w:val="71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8" w:customStyle="1">
    <w:name w:val="Grid Table 4 - Accent 4"/>
    <w:basedOn w:val="71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9" w:customStyle="1">
    <w:name w:val="Grid Table 4 - Accent 5"/>
    <w:basedOn w:val="71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0" w:customStyle="1">
    <w:name w:val="Grid Table 4 - Accent 6"/>
    <w:basedOn w:val="71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1">
    <w:name w:val="Grid Table 5 Dark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0" w:customStyle="1">
    <w:name w:val="Grid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1" w:customStyle="1">
    <w:name w:val="Grid Table 6 Colorful - Accent 3"/>
    <w:basedOn w:val="71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2" w:customStyle="1">
    <w:name w:val="Grid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3" w:customStyle="1">
    <w:name w:val="Grid Table 6 Colorful - Accent 5"/>
    <w:basedOn w:val="71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4" w:customStyle="1">
    <w:name w:val="Grid Table 6 Colorful - Accent 6"/>
    <w:basedOn w:val="71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5">
    <w:name w:val="Grid Table 7 Colorful"/>
    <w:basedOn w:val="7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7">
    <w:name w:val="List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9" w:customStyle="1">
    <w:name w:val="List Table 6 Colorful - Accent 2"/>
    <w:basedOn w:val="71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0" w:customStyle="1">
    <w:name w:val="List Table 6 Colorful - Accent 3"/>
    <w:basedOn w:val="71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1" w:customStyle="1">
    <w:name w:val="List Table 6 Colorful - Accent 4"/>
    <w:basedOn w:val="71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2" w:customStyle="1">
    <w:name w:val="List Table 6 Colorful - Accent 5"/>
    <w:basedOn w:val="71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3" w:customStyle="1">
    <w:name w:val="List Table 6 Colorful - Accent 6"/>
    <w:basedOn w:val="71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4">
    <w:name w:val="List Table 7 Colorful"/>
    <w:basedOn w:val="7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3" w:customStyle="1">
    <w:name w:val="Lined - Accent 2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4" w:customStyle="1">
    <w:name w:val="Lined - Accent 3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5" w:customStyle="1">
    <w:name w:val="Lined - Accent 4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6" w:customStyle="1">
    <w:name w:val="Lined - Accent 5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7" w:customStyle="1">
    <w:name w:val="Lined - Accent 6"/>
    <w:basedOn w:val="71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8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0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1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2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3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4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5" w:customStyle="1">
    <w:name w:val="Bordered"/>
    <w:basedOn w:val="71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7" w:customStyle="1">
    <w:name w:val="Bordered - Accent 2"/>
    <w:basedOn w:val="71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8" w:customStyle="1">
    <w:name w:val="Bordered - Accent 3"/>
    <w:basedOn w:val="71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9" w:customStyle="1">
    <w:name w:val="Bordered - Accent 4"/>
    <w:basedOn w:val="71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0" w:customStyle="1">
    <w:name w:val="Bordered - Accent 5"/>
    <w:basedOn w:val="71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1" w:customStyle="1">
    <w:name w:val="Bordered - Accent 6"/>
    <w:basedOn w:val="71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2">
    <w:name w:val="footnote text"/>
    <w:basedOn w:val="701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1"/>
    <w:uiPriority w:val="99"/>
    <w:unhideWhenUsed/>
    <w:rPr>
      <w:vertAlign w:val="superscript"/>
    </w:rPr>
  </w:style>
  <w:style w:type="paragraph" w:styleId="865">
    <w:name w:val="endnote text"/>
    <w:basedOn w:val="701"/>
    <w:link w:val="866"/>
    <w:uiPriority w:val="99"/>
    <w:semiHidden/>
    <w:unhideWhenUsed/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1"/>
    <w:uiPriority w:val="99"/>
    <w:semiHidden/>
    <w:unhideWhenUsed/>
    <w:rPr>
      <w:vertAlign w:val="superscript"/>
    </w:rPr>
  </w:style>
  <w:style w:type="paragraph" w:styleId="868">
    <w:name w:val="toc 1"/>
    <w:basedOn w:val="701"/>
    <w:next w:val="701"/>
    <w:uiPriority w:val="39"/>
    <w:unhideWhenUsed/>
    <w:pPr>
      <w:spacing w:after="57"/>
    </w:pPr>
  </w:style>
  <w:style w:type="paragraph" w:styleId="869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70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71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72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73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74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75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76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1"/>
    <w:next w:val="701"/>
    <w:uiPriority w:val="99"/>
    <w:unhideWhenUsed/>
  </w:style>
  <w:style w:type="character" w:styleId="879" w:customStyle="1">
    <w:name w:val="Заголовок 1 Знак"/>
    <w:link w:val="702"/>
    <w:rPr>
      <w:sz w:val="24"/>
    </w:rPr>
  </w:style>
  <w:style w:type="character" w:styleId="880" w:customStyle="1">
    <w:name w:val="Заголовок 2 Знак"/>
    <w:link w:val="703"/>
    <w:rPr>
      <w:sz w:val="24"/>
    </w:rPr>
  </w:style>
  <w:style w:type="paragraph" w:styleId="881">
    <w:name w:val="Caption"/>
    <w:basedOn w:val="701"/>
    <w:next w:val="701"/>
    <w:link w:val="73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2">
    <w:name w:val="Body Text"/>
    <w:basedOn w:val="701"/>
    <w:link w:val="883"/>
    <w:pPr>
      <w:ind w:right="3117"/>
    </w:pPr>
    <w:rPr>
      <w:rFonts w:ascii="Courier New" w:hAnsi="Courier New"/>
      <w:sz w:val="26"/>
    </w:rPr>
  </w:style>
  <w:style w:type="character" w:styleId="883" w:customStyle="1">
    <w:name w:val="Основной текст Знак"/>
    <w:link w:val="882"/>
    <w:rPr>
      <w:rFonts w:ascii="Courier New" w:hAnsi="Courier New"/>
      <w:sz w:val="26"/>
    </w:rPr>
  </w:style>
  <w:style w:type="paragraph" w:styleId="884">
    <w:name w:val="Body Text Indent"/>
    <w:basedOn w:val="701"/>
    <w:link w:val="885"/>
    <w:pPr>
      <w:ind w:right="-1"/>
      <w:jc w:val="both"/>
    </w:pPr>
    <w:rPr>
      <w:sz w:val="26"/>
    </w:rPr>
  </w:style>
  <w:style w:type="character" w:styleId="885" w:customStyle="1">
    <w:name w:val="Основной текст с отступом Знак"/>
    <w:link w:val="884"/>
    <w:rPr>
      <w:sz w:val="26"/>
    </w:rPr>
  </w:style>
  <w:style w:type="paragraph" w:styleId="886">
    <w:name w:val="Footer"/>
    <w:basedOn w:val="701"/>
    <w:link w:val="887"/>
    <w:uiPriority w:val="99"/>
    <w:pPr>
      <w:tabs>
        <w:tab w:val="center" w:pos="4153" w:leader="none"/>
        <w:tab w:val="right" w:pos="8306" w:leader="none"/>
      </w:tabs>
    </w:pPr>
  </w:style>
  <w:style w:type="character" w:styleId="887" w:customStyle="1">
    <w:name w:val="Нижний колонтитул Знак"/>
    <w:basedOn w:val="711"/>
    <w:link w:val="886"/>
    <w:uiPriority w:val="99"/>
  </w:style>
  <w:style w:type="character" w:styleId="888">
    <w:name w:val="page number"/>
    <w:basedOn w:val="711"/>
  </w:style>
  <w:style w:type="paragraph" w:styleId="889">
    <w:name w:val="Header"/>
    <w:basedOn w:val="701"/>
    <w:link w:val="890"/>
    <w:uiPriority w:val="99"/>
    <w:pPr>
      <w:tabs>
        <w:tab w:val="center" w:pos="4153" w:leader="none"/>
        <w:tab w:val="right" w:pos="8306" w:leader="none"/>
      </w:tabs>
    </w:pPr>
  </w:style>
  <w:style w:type="character" w:styleId="890" w:customStyle="1">
    <w:name w:val="Верхний колонтитул Знак"/>
    <w:link w:val="889"/>
    <w:uiPriority w:val="99"/>
  </w:style>
  <w:style w:type="paragraph" w:styleId="891">
    <w:name w:val="Balloon Text"/>
    <w:basedOn w:val="701"/>
    <w:link w:val="892"/>
    <w:rPr>
      <w:rFonts w:ascii="Segoe UI" w:hAnsi="Segoe UI"/>
      <w:sz w:val="18"/>
      <w:szCs w:val="18"/>
    </w:rPr>
  </w:style>
  <w:style w:type="character" w:styleId="892" w:customStyle="1">
    <w:name w:val="Текст выноски Знак"/>
    <w:link w:val="891"/>
    <w:rPr>
      <w:rFonts w:ascii="Segoe UI" w:hAnsi="Segoe UI" w:cs="Segoe UI"/>
      <w:sz w:val="18"/>
      <w:szCs w:val="18"/>
    </w:rPr>
  </w:style>
  <w:style w:type="paragraph" w:styleId="893" w:customStyle="1">
    <w:name w:val="Форма"/>
    <w:rPr>
      <w:sz w:val="28"/>
      <w:szCs w:val="28"/>
    </w:rPr>
  </w:style>
  <w:style w:type="paragraph" w:styleId="894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895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96">
    <w:name w:val="Hyperlink"/>
    <w:uiPriority w:val="99"/>
    <w:unhideWhenUsed/>
    <w:rPr>
      <w:color w:val="0000ff"/>
      <w:u w:val="single"/>
    </w:rPr>
  </w:style>
  <w:style w:type="paragraph" w:styleId="897">
    <w:name w:val="Normal (Web)"/>
    <w:basedOn w:val="70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8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media1.svg"/><Relationship Id="rId14" Type="http://schemas.openxmlformats.org/officeDocument/2006/relationships/hyperlink" Target="https://login.consultant.ru/link/?req=doc&amp;base=RLAW368&amp;n=213972&amp;dst=7&amp;field=134&amp;date=29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39709-6C3E-4A81-BD11-CFD0F0B0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10</cp:revision>
  <dcterms:created xsi:type="dcterms:W3CDTF">2026-05-26T05:20:00Z</dcterms:created>
  <dcterms:modified xsi:type="dcterms:W3CDTF">2026-06-05T07:46:20Z</dcterms:modified>
</cp:coreProperties>
</file>