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33725" cy="789376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26088720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33724" cy="7893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9.90pt;height:62.16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905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905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5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5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5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05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17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33725" cy="789376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6088720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33724" cy="7893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9.90pt;height:62.16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905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905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5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5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5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0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5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contextualSpacing/>
        <w:ind w:firstLine="709"/>
        <w:jc w:val="center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05"/>
        <w:contextualSpacing/>
        <w:ind w:left="0" w:right="0" w:firstLine="0"/>
        <w:jc w:val="center"/>
        <w:widowControl w:val="o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Прогнозный план приватизации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имущества города Перми на 20</w:t>
      </w:r>
      <w:r>
        <w:rPr>
          <w:rFonts w:ascii="Times New Roman" w:hAnsi="Times New Roman"/>
          <w:b/>
          <w:sz w:val="28"/>
          <w:szCs w:val="28"/>
        </w:rPr>
        <w:t xml:space="preserve">26</w:t>
      </w:r>
      <w:r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b/>
          <w:sz w:val="28"/>
          <w:szCs w:val="28"/>
        </w:rPr>
        <w:t xml:space="preserve">27</w:t>
      </w:r>
      <w:r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 xml:space="preserve">28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годов, утвержденный решением Пермской городской Думы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18.11.2025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 xml:space="preserve">217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05"/>
        <w:contextualSpacing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contextualSpacing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  <w:t xml:space="preserve">В соответствии с Ф</w:t>
      </w:r>
      <w:r>
        <w:rPr>
          <w:rFonts w:ascii="Times New Roman" w:hAnsi="Times New Roman"/>
          <w:b w:val="0"/>
          <w:sz w:val="28"/>
          <w:szCs w:val="28"/>
        </w:rPr>
        <w:t xml:space="preserve">едеральными законами от 21.12.2001 № 178-ФЗ «О приватизации государственного и муниципального имущества», </w:t>
      </w:r>
      <w:r>
        <w:rPr>
          <w:rFonts w:ascii="Times New Roman" w:hAnsi="Times New Roman"/>
          <w:b w:val="0"/>
          <w:sz w:val="28"/>
          <w:szCs w:val="28"/>
        </w:rPr>
        <w:t xml:space="preserve">от 20.03.2025 № 33-ФЗ «Об общих принципах орга</w:t>
      </w:r>
      <w:r>
        <w:rPr>
          <w:rFonts w:ascii="Times New Roman" w:hAnsi="Times New Roman"/>
          <w:b w:val="0"/>
          <w:sz w:val="28"/>
          <w:szCs w:val="28"/>
        </w:rPr>
        <w:t xml:space="preserve">низации местного самоуправления в единой системе публичной власти»,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</w:t>
      </w:r>
      <w:r>
        <w:rPr>
          <w:rFonts w:ascii="Times New Roman" w:hAnsi="Times New Roman"/>
          <w:b w:val="0"/>
          <w:sz w:val="28"/>
          <w:szCs w:val="28"/>
        </w:rPr>
        <w:t xml:space="preserve">а и внесении изменений в Правила подготовки и принятия решений об условиях приватизации федерального имущества», Уставом города Перми, решением Пермской городской Думы от 20.11.2012 № 256 «Об утверждении Положения о приватизации муниципального имущества го</w:t>
      </w:r>
      <w:r>
        <w:rPr>
          <w:rFonts w:ascii="Times New Roman" w:hAnsi="Times New Roman"/>
          <w:b w:val="0"/>
          <w:sz w:val="28"/>
          <w:szCs w:val="28"/>
        </w:rPr>
        <w:t xml:space="preserve">рода Перми»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jc w:val="center"/>
        <w:spacing w:before="240" w:after="240"/>
        <w:tabs>
          <w:tab w:val="left" w:pos="7020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Пермская городская Дума </w:t>
      </w:r>
      <w:r>
        <w:rPr>
          <w:rFonts w:ascii="Times New Roman" w:hAnsi="Times New Roman"/>
          <w:spacing w:val="40"/>
          <w:sz w:val="28"/>
          <w:szCs w:val="28"/>
        </w:rPr>
        <w:t xml:space="preserve">решила</w:t>
      </w:r>
      <w:r>
        <w:rPr>
          <w:rFonts w:ascii="Times New Roman" w:hAnsi="Times New Roman"/>
          <w:b w:val="0"/>
          <w:sz w:val="28"/>
          <w:szCs w:val="28"/>
        </w:rPr>
        <w:t xml:space="preserve">: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Прогнозный план приватизации </w:t>
      </w:r>
      <w:r>
        <w:rPr>
          <w:rFonts w:ascii="Times New Roman" w:hAnsi="Times New Roman"/>
          <w:sz w:val="28"/>
          <w:szCs w:val="28"/>
        </w:rPr>
        <w:t xml:space="preserve">муниципального имущества г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рода Перми на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, утвержденный р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шением Пермской городской Думы от </w:t>
      </w: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.11.202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217 (в редакции решения Пермской городской Думы от 24.03.2026 № 46)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 </w:t>
      </w:r>
      <w:r>
        <w:rPr>
          <w:rFonts w:ascii="Times New Roman" w:hAnsi="Times New Roman"/>
          <w:sz w:val="28"/>
          <w:szCs w:val="28"/>
        </w:rPr>
        <w:t xml:space="preserve">в абзаце восьмом раздела I цифры «61495,9» заменить цифрами «71783,6»;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 </w:t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раздел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II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1.2.1 в подразделе 1 таблицы: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1.2.1.1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строку «приватизация данных объектов не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утратившей силу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1.2.1.2 доп</w:t>
      </w:r>
      <w:r>
        <w:rPr>
          <w:rFonts w:ascii="Times New Roman" w:hAnsi="Times New Roman"/>
          <w:sz w:val="28"/>
          <w:szCs w:val="28"/>
          <w:highlight w:val="white"/>
        </w:rPr>
        <w:t xml:space="preserve">олнить строками согласно приложению 1 </w:t>
      </w:r>
      <w:r>
        <w:rPr>
          <w:rFonts w:ascii="Times New Roman" w:hAnsi="Times New Roman"/>
          <w:sz w:val="28"/>
          <w:szCs w:val="28"/>
          <w:highlight w:val="white"/>
        </w:rPr>
        <w:t xml:space="preserve">к настоящему решению;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.2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строку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таблицы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1"/>
        <w:gridCol w:w="1974"/>
        <w:gridCol w:w="5728"/>
        <w:gridCol w:w="1634"/>
      </w:tblGrid>
      <w:tr>
        <w:tblPrEx/>
        <w:trPr/>
        <w:tc>
          <w:tcPr>
            <w:tcBorders>
              <w:bottom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Итого по подразделам 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=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3864,0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кв. 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1"/>
        <w:gridCol w:w="1974"/>
        <w:gridCol w:w="5728"/>
        <w:gridCol w:w="1634"/>
      </w:tblGrid>
      <w:tr>
        <w:tblPrEx/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Итого по подразделам 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4397,4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1.2.3 подраздел 6 таблицы </w:t>
      </w:r>
      <w:r>
        <w:rPr>
          <w:rFonts w:ascii="Times New Roman" w:hAnsi="Times New Roman"/>
          <w:sz w:val="28"/>
          <w:szCs w:val="28"/>
          <w:highlight w:val="white"/>
        </w:rPr>
        <w:t xml:space="preserve">доп</w:t>
      </w:r>
      <w:r>
        <w:rPr>
          <w:rFonts w:ascii="Times New Roman" w:hAnsi="Times New Roman"/>
          <w:sz w:val="28"/>
          <w:szCs w:val="28"/>
          <w:highlight w:val="white"/>
        </w:rPr>
        <w:t xml:space="preserve">олнить строкой согласно приложению 2 </w:t>
      </w:r>
      <w:r>
        <w:rPr>
          <w:rFonts w:ascii="Times New Roman" w:hAnsi="Times New Roman"/>
          <w:sz w:val="28"/>
          <w:szCs w:val="28"/>
          <w:highlight w:val="white"/>
        </w:rPr>
        <w:t xml:space="preserve">к настоящему решению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9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Настоящее решение вступает в силу со дня его официального опубликования в печатном средстве массовой информации </w:t>
      </w: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val="ru-RU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9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  <w:lang w:val="ru-RU"/>
        </w:rPr>
        <w:t xml:space="preserve">. Контроль за исполнением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  <w:lang w:val="ru-RU"/>
        </w:rPr>
        <w:t xml:space="preserve">решения возложить на комитет Пермской городской Думы по </w:t>
      </w:r>
      <w:r>
        <w:rPr>
          <w:rFonts w:ascii="Times New Roman" w:hAnsi="Times New Roman"/>
          <w:sz w:val="28"/>
          <w:szCs w:val="28"/>
          <w:lang w:val="ru-RU"/>
        </w:rPr>
        <w:t xml:space="preserve">инвестициям и управлению муниципальными ресурсами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0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Пермской городской Думы                  </w:t>
      </w:r>
      <w:r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                      Д.В. Мал</w:t>
      </w:r>
      <w:r>
        <w:rPr>
          <w:b w:val="0"/>
          <w:sz w:val="28"/>
          <w:szCs w:val="28"/>
        </w:rPr>
        <w:t xml:space="preserve">ю</w:t>
      </w:r>
      <w:r>
        <w:rPr>
          <w:b w:val="0"/>
          <w:sz w:val="28"/>
          <w:szCs w:val="28"/>
        </w:rPr>
        <w:t xml:space="preserve">тин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0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0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0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05"/>
        <w:contextualSpacing/>
        <w:jc w:val="both"/>
        <w:widowControl w:val="off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Глав</w:t>
      </w:r>
      <w:r>
        <w:rPr>
          <w:b w:val="0"/>
          <w:sz w:val="28"/>
          <w:szCs w:val="28"/>
        </w:rPr>
        <w:t xml:space="preserve">а</w:t>
      </w:r>
      <w:r>
        <w:rPr>
          <w:b w:val="0"/>
          <w:sz w:val="28"/>
          <w:szCs w:val="28"/>
        </w:rPr>
        <w:t xml:space="preserve"> города Перми</w:t>
      </w:r>
      <w:r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                                </w:t>
      </w:r>
      <w:r>
        <w:rPr>
          <w:b w:val="0"/>
          <w:sz w:val="28"/>
          <w:szCs w:val="28"/>
        </w:rPr>
        <w:t xml:space="preserve">                            </w:t>
      </w: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Э.О. Соснин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/>
        <w:jc w:val="both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jc w:val="both"/>
        <w:widowControl w:val="off"/>
        <w:rPr>
          <w:b w:val="0"/>
          <w:bCs w:val="0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363" w:right="567" w:bottom="1134" w:left="1418" w:header="567" w:footer="709" w:gutter="0"/>
          <w:cols w:num="1" w:sep="0" w:space="60" w:equalWidth="1"/>
          <w:docGrid w:linePitch="360"/>
          <w:titlePg/>
        </w:sectPr>
      </w:pPr>
      <w:r>
        <w:rPr>
          <w:b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05"/>
        <w:ind w:left="10773"/>
        <w:rPr>
          <w:b w:val="0"/>
          <w:bCs w:val="0"/>
        </w:rPr>
      </w:pPr>
      <w:r>
        <w:rPr>
          <w:b w:val="0"/>
          <w:sz w:val="28"/>
          <w:szCs w:val="28"/>
        </w:rPr>
        <w:t xml:space="preserve">ПРИЛОЖЕНИЕ 1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10773"/>
        <w:rPr>
          <w:b w:val="0"/>
          <w:bCs w:val="0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  <w:t xml:space="preserve">к решению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5"/>
        <w:ind w:left="10773"/>
        <w:rPr>
          <w:b w:val="0"/>
        </w:rPr>
      </w:pPr>
      <w:r>
        <w:rPr>
          <w:b w:val="0"/>
          <w:sz w:val="28"/>
          <w:szCs w:val="28"/>
        </w:rPr>
        <w:t xml:space="preserve">Пермской городской Думы</w:t>
      </w:r>
      <w:r>
        <w:rPr>
          <w:b w:val="0"/>
        </w:rPr>
      </w:r>
      <w:r>
        <w:rPr>
          <w:b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5"/>
        <w:rPr>
          <w:b w:val="0"/>
          <w:bCs w:val="0"/>
        </w:rPr>
      </w:pPr>
      <w:r>
        <w:rPr>
          <w:b w:val="0"/>
          <w:sz w:val="28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СТРОКИ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дополняющие</w:t>
      </w:r>
      <w:r>
        <w:rPr>
          <w:b/>
          <w:bCs/>
          <w:sz w:val="28"/>
          <w:szCs w:val="28"/>
        </w:rPr>
        <w:t xml:space="preserve"> подраздел 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таблицы </w:t>
      </w:r>
      <w:r>
        <w:rPr>
          <w:b/>
          <w:bCs/>
          <w:sz w:val="28"/>
          <w:szCs w:val="28"/>
        </w:rPr>
        <w:t xml:space="preserve">раздела </w:t>
      </w:r>
      <w:r>
        <w:rPr>
          <w:b/>
          <w:bCs/>
          <w:sz w:val="28"/>
          <w:szCs w:val="28"/>
          <w:lang w:val="en-US"/>
        </w:rPr>
        <w:t xml:space="preserve">II</w:t>
      </w:r>
      <w:r>
        <w:rPr>
          <w:b/>
          <w:bCs/>
          <w:sz w:val="28"/>
          <w:szCs w:val="28"/>
        </w:rPr>
        <w:t xml:space="preserve"> Прогнозного плана приватизации муниципального имущества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годов, утвержденного решением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Пермской городской Думы от </w:t>
      </w:r>
      <w:r>
        <w:rPr>
          <w:b/>
          <w:bCs/>
          <w:sz w:val="28"/>
          <w:szCs w:val="28"/>
        </w:rPr>
        <w:t xml:space="preserve">18.11.2025</w:t>
      </w:r>
      <w:r>
        <w:rPr>
          <w:b/>
          <w:bCs/>
          <w:sz w:val="28"/>
          <w:szCs w:val="28"/>
        </w:rPr>
        <w:t xml:space="preserve"> № 217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 w:val="0"/>
          <w:bCs w:val="0"/>
          <w:highlight w:val="yellow"/>
        </w:rPr>
      </w:pPr>
      <w:r>
        <w:rPr>
          <w:b w:val="0"/>
          <w:highlight w:val="yellow"/>
        </w:rPr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pStyle w:val="905"/>
        <w:rPr>
          <w:b w:val="0"/>
          <w:bCs w:val="0"/>
          <w:highlight w:val="yellow"/>
        </w:rPr>
      </w:pPr>
      <w:r>
        <w:rPr>
          <w:b w:val="0"/>
          <w:sz w:val="28"/>
          <w:szCs w:val="28"/>
          <w:highlight w:val="yellow"/>
        </w:rPr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tbl>
      <w:tblPr>
        <w:tblW w:w="15026" w:type="dxa"/>
        <w:tblInd w:w="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2869"/>
        <w:gridCol w:w="9527"/>
        <w:gridCol w:w="18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  <w:tc>
          <w:tcPr>
            <w:tcW w:w="9527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Свердловский район</w:t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город Пермь, шоссе Космонавтов, дом 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527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</w:rPr>
              <w:t xml:space="preserve">отдельно стоящее нежилое здание </w:t>
            </w:r>
            <w:r>
              <w:rPr>
                <w:sz w:val="28"/>
                <w:szCs w:val="28"/>
                <w:lang w:eastAsia="ru-RU"/>
              </w:rPr>
              <w:t xml:space="preserve">пло</w:t>
            </w:r>
            <w:r>
              <w:rPr>
                <w:sz w:val="28"/>
                <w:szCs w:val="28"/>
                <w:lang w:eastAsia="ru-RU"/>
              </w:rPr>
              <w:t xml:space="preserve">щадью 533,4 кв. м </w:t>
            </w:r>
            <w:r>
              <w:rPr>
                <w:sz w:val="28"/>
                <w:szCs w:val="28"/>
                <w:lang w:eastAsia="ru-RU"/>
              </w:rPr>
              <w:t xml:space="preserve">(кадастровый номер </w:t>
            </w:r>
            <w:r>
              <w:rPr>
                <w:sz w:val="28"/>
                <w:szCs w:val="28"/>
                <w:lang w:eastAsia="ru-RU"/>
              </w:rPr>
              <w:t xml:space="preserve">59:01:4410218:45</w:t>
            </w:r>
            <w:r>
              <w:rPr>
                <w:sz w:val="28"/>
                <w:szCs w:val="28"/>
                <w:lang w:eastAsia="ru-RU"/>
              </w:rPr>
              <w:t xml:space="preserve">), количество этажей </w:t>
            </w:r>
            <w:r>
              <w:rPr>
                <w:sz w:val="28"/>
                <w:szCs w:val="28"/>
                <w:lang w:eastAsia="ru-RU"/>
              </w:rPr>
              <w:t xml:space="preserve">2, в том числе подзем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ных 0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Здание является объектом культурного наследия регионального значения – памятник «</w:t>
            </w:r>
            <w:r>
              <w:rPr>
                <w:sz w:val="28"/>
                <w:szCs w:val="28"/>
                <w:lang w:eastAsia="ru-RU"/>
              </w:rPr>
              <w:t xml:space="preserve">Флигель купца Лаптева с воротами</w:t>
            </w:r>
            <w:r>
              <w:rPr>
                <w:sz w:val="28"/>
                <w:szCs w:val="28"/>
                <w:lang w:eastAsia="ru-RU"/>
              </w:rPr>
              <w:t xml:space="preserve">». Здание</w:t>
            </w:r>
            <w:r>
              <w:rPr>
                <w:sz w:val="28"/>
                <w:szCs w:val="28"/>
                <w:lang w:eastAsia="ru-RU"/>
              </w:rPr>
              <w:t xml:space="preserve"> составляет </w:t>
            </w:r>
            <w:r>
              <w:rPr>
                <w:sz w:val="28"/>
                <w:szCs w:val="28"/>
                <w:lang w:eastAsia="ru-RU"/>
                <w14:ligatures w14:val="none"/>
              </w:rPr>
            </w:r>
            <w:r>
              <w:rPr>
                <w:sz w:val="28"/>
                <w:szCs w:val="28"/>
                <w:lang w:eastAsia="ru-RU"/>
                <w14:ligatures w14:val="none"/>
              </w:rPr>
            </w:r>
            <w:r>
              <w:rPr>
                <w:sz w:val="28"/>
                <w:szCs w:val="28"/>
                <w:lang w:eastAsia="ru-RU"/>
              </w:rPr>
              <w:t xml:space="preserve">казну муниципального образования город П</w:t>
            </w:r>
            <w:r>
              <w:rPr>
                <w:sz w:val="28"/>
                <w:szCs w:val="28"/>
                <w:lang w:eastAsia="en-US"/>
              </w:rPr>
              <w:t xml:space="preserve">ермь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продажа на конкурсе</w:t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</w:tr>
    </w:tbl>
    <w:p>
      <w:pPr>
        <w:contextualSpacing/>
        <w:jc w:val="both"/>
        <w:widowControl w:val="off"/>
        <w:rPr>
          <w:b w:val="0"/>
          <w:bCs w:val="0"/>
          <w:sz w:val="28"/>
          <w:szCs w:val="28"/>
          <w:highlight w:val="none"/>
        </w:rPr>
        <w:sectPr>
          <w:footnotePr/>
          <w:endnotePr/>
          <w:type w:val="nextPage"/>
          <w:pgSz w:w="16820" w:h="11900" w:orient="landscape"/>
          <w:pgMar w:top="1134" w:right="567" w:bottom="1134" w:left="1417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b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05"/>
        <w:ind w:left="10773"/>
        <w:rPr>
          <w:b w:val="0"/>
          <w:bCs w:val="0"/>
        </w:rPr>
      </w:pPr>
      <w:r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 xml:space="preserve">2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10773"/>
        <w:rPr>
          <w:b w:val="0"/>
          <w:bCs w:val="0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  <w:t xml:space="preserve">к решению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5"/>
        <w:ind w:left="10773"/>
        <w:rPr>
          <w:b w:val="0"/>
        </w:rPr>
      </w:pPr>
      <w:r>
        <w:rPr>
          <w:b w:val="0"/>
          <w:sz w:val="28"/>
          <w:szCs w:val="28"/>
        </w:rPr>
        <w:t xml:space="preserve">Пермской городской Думы</w:t>
      </w:r>
      <w:r>
        <w:rPr>
          <w:b w:val="0"/>
        </w:rPr>
      </w:r>
      <w:r>
        <w:rPr>
          <w:b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5"/>
        <w:rPr>
          <w:b w:val="0"/>
          <w:bCs w:val="0"/>
        </w:rPr>
      </w:pPr>
      <w:r>
        <w:rPr>
          <w:b w:val="0"/>
          <w:sz w:val="28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СТРОК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дополняющая</w:t>
      </w:r>
      <w:r>
        <w:rPr>
          <w:b/>
          <w:bCs/>
          <w:sz w:val="28"/>
          <w:szCs w:val="28"/>
        </w:rPr>
        <w:t xml:space="preserve"> подраздел 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таблицы </w:t>
      </w:r>
      <w:r>
        <w:rPr>
          <w:b/>
          <w:bCs/>
          <w:sz w:val="28"/>
          <w:szCs w:val="28"/>
        </w:rPr>
        <w:t xml:space="preserve">раздела </w:t>
      </w:r>
      <w:r>
        <w:rPr>
          <w:b/>
          <w:bCs/>
          <w:sz w:val="28"/>
          <w:szCs w:val="28"/>
          <w:lang w:val="en-US"/>
        </w:rPr>
        <w:t xml:space="preserve">II</w:t>
      </w:r>
      <w:r>
        <w:rPr>
          <w:b/>
          <w:bCs/>
          <w:sz w:val="28"/>
          <w:szCs w:val="28"/>
        </w:rPr>
        <w:t xml:space="preserve"> Прогнозного плана приватизации муниципального имущества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годов, утвержденного решением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Пермской городской Думы от </w:t>
      </w:r>
      <w:r>
        <w:rPr>
          <w:b/>
          <w:bCs/>
          <w:sz w:val="28"/>
          <w:szCs w:val="28"/>
        </w:rPr>
        <w:t xml:space="preserve">18.11.2025</w:t>
      </w:r>
      <w:r>
        <w:rPr>
          <w:b/>
          <w:bCs/>
          <w:sz w:val="28"/>
          <w:szCs w:val="28"/>
        </w:rPr>
        <w:t xml:space="preserve"> № 217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 w:val="0"/>
          <w:bCs w:val="0"/>
          <w:highlight w:val="yellow"/>
        </w:rPr>
      </w:pPr>
      <w:r>
        <w:rPr>
          <w:b w:val="0"/>
          <w:highlight w:val="yellow"/>
        </w:rPr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pStyle w:val="905"/>
        <w:rPr>
          <w:b w:val="0"/>
          <w:bCs w:val="0"/>
          <w:highlight w:val="yellow"/>
        </w:rPr>
      </w:pPr>
      <w:r>
        <w:rPr>
          <w:b w:val="0"/>
          <w:sz w:val="28"/>
          <w:szCs w:val="28"/>
          <w:highlight w:val="yellow"/>
        </w:rPr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tbl>
      <w:tblPr>
        <w:tblW w:w="15026" w:type="dxa"/>
        <w:tblInd w:w="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2869"/>
        <w:gridCol w:w="9214"/>
        <w:gridCol w:w="21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52</w:t>
            </w:r>
            <w:r>
              <w:rPr>
                <w:b w:val="0"/>
                <w:bCs w:val="0"/>
                <w:sz w:val="28"/>
                <w:szCs w:val="28"/>
                <w14:ligatures w14:val="none"/>
              </w:rPr>
            </w:r>
            <w:r>
              <w:rPr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jc w:val="left"/>
              <w:rPr>
                <w:b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Пермский край, </w:t>
            </w:r>
            <w:r>
              <w:rPr>
                <w:b w:val="0"/>
                <w14:ligatures w14:val="none"/>
              </w:rPr>
            </w:r>
            <w:r>
              <w:rPr>
                <w:b w:val="0"/>
                <w14:ligatures w14:val="none"/>
              </w:rPr>
            </w:r>
          </w:p>
          <w:p>
            <w:pPr>
              <w:jc w:val="left"/>
              <w:rPr>
                <w:b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г. Пермь, Орджоникидзевский район, </w:t>
            </w:r>
            <w:r>
              <w:rPr>
                <w:b w:val="0"/>
                <w14:ligatures w14:val="none"/>
              </w:rPr>
            </w:r>
            <w:r>
              <w:rPr>
                <w:b w:val="0"/>
                <w14:ligatures w14:val="none"/>
              </w:rPr>
            </w:r>
          </w:p>
          <w:p>
            <w:pPr>
              <w:jc w:val="left"/>
              <w:rPr>
                <w:b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ул. Волочаевская, </w:t>
            </w:r>
            <w:r>
              <w:rPr>
                <w:b w:val="0"/>
                <w14:ligatures w14:val="none"/>
              </w:rPr>
            </w:r>
            <w:r>
              <w:rPr>
                <w:b w:val="0"/>
                <w14:ligatures w14:val="none"/>
              </w:rPr>
            </w:r>
          </w:p>
          <w:p>
            <w:pPr>
              <w:jc w:val="left"/>
              <w:rPr>
                <w:b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д. 32</w:t>
            </w:r>
            <w:r>
              <w:rPr>
                <w:b w:val="0"/>
                <w14:ligatures w14:val="none"/>
              </w:rPr>
            </w:r>
            <w:r>
              <w:rPr>
                <w:b w:val="0"/>
                <w14:ligatures w14:val="none"/>
              </w:rPr>
            </w:r>
          </w:p>
        </w:tc>
        <w:tc>
          <w:tcPr>
            <w:tcW w:w="9214" w:type="dxa"/>
            <w:vAlign w:val="top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лом и отходы черных металлов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общим весом 1 285,96 тонн</w:t>
            </w:r>
            <w:r>
              <w:rPr>
                <w:b w:val="0"/>
                <w:bCs w:val="0"/>
                <w:sz w:val="28"/>
                <w:szCs w:val="28"/>
              </w:rPr>
              <w:t xml:space="preserve">. </w:t>
            </w:r>
            <w:r>
              <w:rPr>
                <w:b w:val="0"/>
                <w:bCs w:val="0"/>
                <w:sz w:val="28"/>
                <w:szCs w:val="28"/>
                <w14:ligatures w14:val="none"/>
              </w:rPr>
            </w:r>
            <w:r>
              <w:rPr>
                <w:b w:val="0"/>
                <w:bCs w:val="0"/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:lang w:eastAsia="ru-RU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Имущество </w:t>
            </w:r>
            <w:r>
              <w:rPr>
                <w:sz w:val="28"/>
                <w:szCs w:val="28"/>
                <w:lang w:eastAsia="ru-RU"/>
              </w:rPr>
              <w:t xml:space="preserve">составляет </w:t>
            </w:r>
            <w:r>
              <w:rPr>
                <w:sz w:val="28"/>
                <w:szCs w:val="28"/>
                <w:lang w:eastAsia="ru-RU"/>
              </w:rPr>
              <w:t xml:space="preserve">казну муниципального образования город П</w:t>
            </w:r>
            <w:r>
              <w:rPr>
                <w:sz w:val="28"/>
                <w:szCs w:val="28"/>
                <w:lang w:eastAsia="en-US"/>
              </w:rPr>
              <w:t xml:space="preserve">ермь</w:t>
            </w:r>
            <w:r>
              <w:rPr>
                <w:sz w:val="28"/>
                <w:szCs w:val="28"/>
                <w:lang w:eastAsia="ru-RU"/>
                <w14:ligatures w14:val="none"/>
              </w:rPr>
            </w:r>
            <w:r>
              <w:rPr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left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szCs w:val="28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продажа </w:t>
            </w:r>
            <w:r>
              <w:rPr>
                <w:b w:val="0"/>
                <w:szCs w:val="28"/>
                <w14:ligatures w14:val="none"/>
              </w:rPr>
            </w:r>
            <w:r>
              <w:rPr>
                <w:b w:val="0"/>
                <w:szCs w:val="28"/>
                <w14:ligatures w14:val="none"/>
              </w:rPr>
            </w:r>
          </w:p>
          <w:p>
            <w:pPr>
              <w:jc w:val="center"/>
              <w:rPr>
                <w:b w:val="0"/>
                <w:szCs w:val="28"/>
                <w14:ligatures w14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на </w:t>
            </w:r>
            <w:r>
              <w:rPr>
                <w:b w:val="0"/>
                <w:bCs w:val="0"/>
                <w:sz w:val="28"/>
                <w:szCs w:val="28"/>
              </w:rPr>
              <w:t xml:space="preserve">аукционе</w:t>
            </w:r>
            <w:r>
              <w:rPr>
                <w:b w:val="0"/>
                <w:szCs w:val="28"/>
                <w14:ligatures w14:val="none"/>
              </w:rPr>
            </w:r>
            <w:r>
              <w:rPr>
                <w:b w:val="0"/>
                <w:szCs w:val="28"/>
                <w14:ligatures w14:val="none"/>
              </w:rPr>
            </w:r>
          </w:p>
        </w:tc>
      </w:tr>
    </w:tbl>
    <w:p>
      <w:pPr>
        <w:contextualSpacing/>
        <w:jc w:val="both"/>
        <w:widowControl w:val="off"/>
        <w:rPr>
          <w:sz w:val="28"/>
          <w:szCs w:val="28"/>
        </w:rPr>
      </w:pPr>
      <w:r>
        <w:rPr>
          <w:b w:val="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20" w:h="11900" w:orient="landscape"/>
      <w:pgMar w:top="1134" w:right="567" w:bottom="1134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nsultant">
    <w:panose1 w:val="02000603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</w:pPr>
    <w:fldSimple w:instr="PAGE \* MERGEFORMAT">
      <w:r>
        <w:t xml:space="preserve">1</w:t>
      </w:r>
    </w:fldSimple>
    <w:r/>
    <w:r/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18"/>
  </w:num>
  <w:num w:numId="12">
    <w:abstractNumId w:val="15"/>
  </w:num>
  <w:num w:numId="13">
    <w:abstractNumId w:val="11"/>
  </w:num>
  <w:num w:numId="14">
    <w:abstractNumId w:val="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905"/>
    <w:next w:val="905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>
    <w:name w:val="Heading 1 Char"/>
    <w:link w:val="727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link w:val="729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5"/>
    <w:next w:val="905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link w:val="747"/>
    <w:uiPriority w:val="10"/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link w:val="749"/>
    <w:uiPriority w:val="11"/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paragraph" w:styleId="755">
    <w:name w:val="Header"/>
    <w:basedOn w:val="905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Header Char"/>
    <w:link w:val="755"/>
    <w:uiPriority w:val="99"/>
  </w:style>
  <w:style w:type="paragraph" w:styleId="757">
    <w:name w:val="Footer"/>
    <w:basedOn w:val="905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Footer Char"/>
    <w:link w:val="757"/>
    <w:uiPriority w:val="99"/>
  </w:style>
  <w:style w:type="paragraph" w:styleId="759">
    <w:name w:val="Caption"/>
    <w:basedOn w:val="905"/>
    <w:next w:val="905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next w:val="905"/>
    <w:link w:val="905"/>
    <w:qFormat/>
    <w:rPr>
      <w:lang w:val="ru-RU" w:eastAsia="ru-RU" w:bidi="ar-SA"/>
    </w:rPr>
  </w:style>
  <w:style w:type="paragraph" w:styleId="906">
    <w:name w:val="Заголовок 1"/>
    <w:basedOn w:val="905"/>
    <w:next w:val="905"/>
    <w:link w:val="905"/>
    <w:qFormat/>
    <w:pPr>
      <w:ind w:right="-1" w:firstLine="709"/>
      <w:jc w:val="both"/>
      <w:keepNext/>
      <w:outlineLvl w:val="0"/>
    </w:pPr>
    <w:rPr>
      <w:sz w:val="24"/>
    </w:rPr>
  </w:style>
  <w:style w:type="paragraph" w:styleId="907">
    <w:name w:val="Заголовок 2"/>
    <w:basedOn w:val="905"/>
    <w:next w:val="905"/>
    <w:link w:val="905"/>
    <w:qFormat/>
    <w:pPr>
      <w:ind w:right="-1"/>
      <w:jc w:val="both"/>
      <w:keepNext/>
      <w:outlineLvl w:val="1"/>
    </w:pPr>
    <w:rPr>
      <w:sz w:val="24"/>
    </w:rPr>
  </w:style>
  <w:style w:type="paragraph" w:styleId="908">
    <w:name w:val="Заголовок 3"/>
    <w:basedOn w:val="905"/>
    <w:next w:val="905"/>
    <w:link w:val="90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09">
    <w:name w:val="Основной шрифт абзаца"/>
    <w:next w:val="909"/>
    <w:link w:val="905"/>
    <w:uiPriority w:val="1"/>
    <w:unhideWhenUsed/>
  </w:style>
  <w:style w:type="table" w:styleId="910">
    <w:name w:val="Обычная таблица"/>
    <w:next w:val="910"/>
    <w:link w:val="905"/>
    <w:uiPriority w:val="99"/>
    <w:semiHidden/>
    <w:unhideWhenUsed/>
    <w:tblPr/>
  </w:style>
  <w:style w:type="numbering" w:styleId="911">
    <w:name w:val="Нет списка"/>
    <w:next w:val="911"/>
    <w:link w:val="905"/>
    <w:uiPriority w:val="99"/>
    <w:semiHidden/>
    <w:unhideWhenUsed/>
  </w:style>
  <w:style w:type="paragraph" w:styleId="912">
    <w:name w:val="Название объекта"/>
    <w:basedOn w:val="905"/>
    <w:next w:val="905"/>
    <w:link w:val="90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3">
    <w:name w:val="Основной текст"/>
    <w:basedOn w:val="905"/>
    <w:next w:val="913"/>
    <w:link w:val="905"/>
    <w:pPr>
      <w:ind w:right="3117"/>
    </w:pPr>
    <w:rPr>
      <w:rFonts w:ascii="Courier New" w:hAnsi="Courier New"/>
      <w:sz w:val="26"/>
    </w:rPr>
  </w:style>
  <w:style w:type="paragraph" w:styleId="914">
    <w:name w:val="Основной текст с отступом"/>
    <w:basedOn w:val="905"/>
    <w:next w:val="914"/>
    <w:link w:val="905"/>
    <w:pPr>
      <w:ind w:right="-1"/>
      <w:jc w:val="both"/>
    </w:pPr>
    <w:rPr>
      <w:sz w:val="26"/>
    </w:rPr>
  </w:style>
  <w:style w:type="paragraph" w:styleId="915">
    <w:name w:val="Нижний колонтитул"/>
    <w:basedOn w:val="905"/>
    <w:next w:val="915"/>
    <w:link w:val="905"/>
    <w:pPr>
      <w:tabs>
        <w:tab w:val="center" w:pos="4153" w:leader="none"/>
        <w:tab w:val="right" w:pos="8306" w:leader="none"/>
      </w:tabs>
    </w:pPr>
  </w:style>
  <w:style w:type="character" w:styleId="916">
    <w:name w:val="Номер страницы"/>
    <w:basedOn w:val="909"/>
    <w:next w:val="916"/>
    <w:link w:val="905"/>
  </w:style>
  <w:style w:type="paragraph" w:styleId="917">
    <w:name w:val="Верхний колонтитул"/>
    <w:basedOn w:val="905"/>
    <w:next w:val="917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18">
    <w:name w:val="Основной текст с отступом 3"/>
    <w:basedOn w:val="905"/>
    <w:next w:val="918"/>
    <w:link w:val="905"/>
    <w:pPr>
      <w:ind w:left="283"/>
      <w:spacing w:after="120"/>
    </w:pPr>
    <w:rPr>
      <w:sz w:val="16"/>
      <w:szCs w:val="16"/>
    </w:rPr>
  </w:style>
  <w:style w:type="paragraph" w:styleId="919">
    <w:name w:val="text"/>
    <w:basedOn w:val="905"/>
    <w:next w:val="919"/>
    <w:link w:val="905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0">
    <w:name w:val="Обычный1"/>
    <w:next w:val="920"/>
    <w:link w:val="905"/>
    <w:rPr>
      <w:lang w:val="ru-RU" w:eastAsia="ru-RU" w:bidi="ar-SA"/>
    </w:rPr>
  </w:style>
  <w:style w:type="paragraph" w:styleId="921">
    <w:name w:val="Заголовок 21"/>
    <w:basedOn w:val="920"/>
    <w:next w:val="920"/>
    <w:link w:val="905"/>
    <w:pPr>
      <w:keepNext/>
    </w:pPr>
    <w:rPr>
      <w:b/>
      <w:sz w:val="22"/>
    </w:rPr>
  </w:style>
  <w:style w:type="table" w:styleId="922">
    <w:name w:val="Сетка таблицы"/>
    <w:basedOn w:val="910"/>
    <w:next w:val="922"/>
    <w:link w:val="905"/>
    <w:tblPr/>
  </w:style>
  <w:style w:type="paragraph" w:styleId="923">
    <w:name w:val="Текст выноски"/>
    <w:basedOn w:val="905"/>
    <w:next w:val="923"/>
    <w:link w:val="905"/>
    <w:semiHidden/>
    <w:rPr>
      <w:rFonts w:ascii="Tahoma" w:hAnsi="Tahoma" w:cs="Tahoma"/>
      <w:sz w:val="16"/>
      <w:szCs w:val="16"/>
    </w:rPr>
  </w:style>
  <w:style w:type="paragraph" w:styleId="924">
    <w:name w:val="ConsPlusNonformat"/>
    <w:next w:val="924"/>
    <w:link w:val="90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5">
    <w:name w:val="ConsPlusCell"/>
    <w:next w:val="925"/>
    <w:link w:val="905"/>
    <w:uiPriority w:val="99"/>
    <w:rPr>
      <w:sz w:val="28"/>
      <w:szCs w:val="28"/>
      <w:lang w:val="ru-RU" w:eastAsia="ru-RU" w:bidi="ar-SA"/>
    </w:rPr>
  </w:style>
  <w:style w:type="paragraph" w:styleId="926">
    <w:name w:val="Абзац списка"/>
    <w:basedOn w:val="905"/>
    <w:next w:val="926"/>
    <w:link w:val="905"/>
    <w:uiPriority w:val="34"/>
    <w:qFormat/>
    <w:pPr>
      <w:ind w:left="708"/>
    </w:pPr>
  </w:style>
  <w:style w:type="character" w:styleId="927">
    <w:name w:val="Верхний колонтитул Знак"/>
    <w:next w:val="927"/>
    <w:link w:val="917"/>
    <w:uiPriority w:val="99"/>
  </w:style>
  <w:style w:type="paragraph" w:styleId="928">
    <w:name w:val="Рецензия"/>
    <w:next w:val="928"/>
    <w:link w:val="905"/>
    <w:hidden/>
    <w:uiPriority w:val="99"/>
    <w:semiHidden/>
    <w:rPr>
      <w:lang w:val="ru-RU" w:eastAsia="ru-RU" w:bidi="ar-SA"/>
    </w:rPr>
  </w:style>
  <w:style w:type="character" w:styleId="929">
    <w:name w:val="Знак примечания"/>
    <w:next w:val="929"/>
    <w:link w:val="905"/>
    <w:semiHidden/>
    <w:unhideWhenUsed/>
    <w:rPr>
      <w:sz w:val="16"/>
      <w:szCs w:val="16"/>
    </w:rPr>
  </w:style>
  <w:style w:type="paragraph" w:styleId="930">
    <w:name w:val="Текст примечания"/>
    <w:basedOn w:val="905"/>
    <w:next w:val="930"/>
    <w:link w:val="931"/>
    <w:semiHidden/>
    <w:unhideWhenUsed/>
  </w:style>
  <w:style w:type="character" w:styleId="931">
    <w:name w:val="Текст примечания Знак"/>
    <w:basedOn w:val="909"/>
    <w:next w:val="931"/>
    <w:link w:val="930"/>
    <w:semiHidden/>
  </w:style>
  <w:style w:type="paragraph" w:styleId="932">
    <w:name w:val="Тема примечания"/>
    <w:basedOn w:val="930"/>
    <w:next w:val="930"/>
    <w:link w:val="933"/>
    <w:semiHidden/>
    <w:unhideWhenUsed/>
    <w:rPr>
      <w:b/>
      <w:bCs/>
    </w:rPr>
  </w:style>
  <w:style w:type="character" w:styleId="933">
    <w:name w:val="Тема примечания Знак"/>
    <w:next w:val="933"/>
    <w:link w:val="932"/>
    <w:semiHidden/>
    <w:rPr>
      <w:b/>
      <w:bCs/>
    </w:rPr>
  </w:style>
  <w:style w:type="character" w:styleId="934">
    <w:name w:val="Гиперссылка"/>
    <w:next w:val="934"/>
    <w:link w:val="905"/>
    <w:unhideWhenUsed/>
    <w:rPr>
      <w:color w:val="0563c1"/>
      <w:u w:val="single"/>
    </w:rPr>
  </w:style>
  <w:style w:type="paragraph" w:styleId="935">
    <w:name w:val="Название объекта1"/>
    <w:basedOn w:val="905"/>
    <w:next w:val="905"/>
    <w:link w:val="905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  <w:style w:type="paragraph" w:styleId="939" w:customStyle="1">
    <w:name w:val="ConsNonformat"/>
    <w:next w:val="868"/>
    <w:link w:val="85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ultant" w:hAnsi="Consultant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ConsTitle"/>
    <w:next w:val="869"/>
    <w:link w:val="85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ConsPlusNormal"/>
    <w:next w:val="870"/>
    <w:link w:val="85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dotsenko-ev</cp:lastModifiedBy>
  <cp:revision>43</cp:revision>
  <dcterms:created xsi:type="dcterms:W3CDTF">2022-08-10T07:01:00Z</dcterms:created>
  <dcterms:modified xsi:type="dcterms:W3CDTF">2026-06-02T10:13:26Z</dcterms:modified>
  <cp:version>983040</cp:version>
</cp:coreProperties>
</file>