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9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4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14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4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48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48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5.35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9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4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14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74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pStyle w:val="74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4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4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4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3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5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4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8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8"/>
        <w:jc w:val="left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Об утверждении состава </w:t>
        <w:br/>
        <w:t xml:space="preserve">Совета по межнациональным </w:t>
        <w:br/>
        <w:t xml:space="preserve">и межконфессиональным отношениям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748"/>
        <w:jc w:val="left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при Главе города Перми и признании </w:t>
        <w:br/>
        <w:t xml:space="preserve">утратившими силу отдельных </w:t>
        <w:br/>
        <w:t xml:space="preserve">постановлений Главы города Перми</w:t>
        <w:br/>
        <w:t xml:space="preserve">в сфере </w:t>
      </w:r>
      <w:r>
        <w:rPr>
          <w:b/>
          <w:bCs/>
          <w:sz w:val="28"/>
          <w:szCs w:val="28"/>
        </w:rPr>
        <w:t xml:space="preserve">межнациональных</w:t>
      </w:r>
      <w:r>
        <w:rPr>
          <w:b/>
          <w:bCs/>
          <w:sz w:val="28"/>
          <w:szCs w:val="28"/>
        </w:rPr>
        <w:t xml:space="preserve"> </w:t>
        <w:br/>
        <w:t xml:space="preserve">и </w:t>
      </w:r>
      <w:r>
        <w:rPr>
          <w:b/>
          <w:bCs/>
          <w:sz w:val="28"/>
          <w:szCs w:val="28"/>
        </w:rPr>
        <w:t xml:space="preserve">межконфессиональных </w:t>
      </w:r>
      <w:r>
        <w:rPr>
          <w:b/>
          <w:bCs/>
          <w:sz w:val="28"/>
          <w:szCs w:val="28"/>
        </w:rPr>
        <w:t xml:space="preserve">отношений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748"/>
        <w:jc w:val="left"/>
        <w:spacing w:line="240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7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8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города Перми от 29 марта 2017 г. № 54 «О создании Совета по межнациональным и межконфессиональным отношениям при Главе города Перми»</w:t>
      </w:r>
      <w:r/>
    </w:p>
    <w:p>
      <w:pPr>
        <w:pStyle w:val="8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ПОСТАНОВЛЯЮ:</w:t>
      </w:r>
      <w:r/>
    </w:p>
    <w:p>
      <w:pPr>
        <w:pStyle w:val="818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состав Совета по межнациональным и межконфессиональным отношениям при Главе города Перми.</w:t>
      </w:r>
      <w:r/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Признать утратившими силу постановления Главы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01 июня 2021 г. № 69 «Об утверждении состава Совета по межнациональным и межконфессиональным отношениям при Главе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30 ноября 2021 г. № 171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14 марта 2022 г. № 21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06 июня 2022 г. № 85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24 января 2023 г. № 12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26 июля 2023 г. № 131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06 сентября 2023 г. № 157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29 сентября 2023 г. № 179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23 января 2024 г. № 9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30 мая 2024 г. № 83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05 февраля 2025 г. № 9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right="0" w:firstLine="709"/>
        <w:jc w:val="both"/>
        <w:rPr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подписания.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748"/>
        <w:ind w:right="0" w:firstLine="709"/>
        <w:jc w:val="both"/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left="0" w:right="0" w:firstLine="709"/>
        <w:jc w:val="both"/>
        <w:shd w:val="nil" w:color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5. Информационно-аналитическому управлению ад</w:t>
      </w:r>
      <w:r>
        <w:rPr>
          <w:sz w:val="28"/>
          <w:szCs w:val="28"/>
        </w:rPr>
        <w:t xml:space="preserve">министрации города Перми обеспечить обнародование настоящего постановления в сетевом издании «Официальный сайт муниципального образования</w:t>
      </w:r>
      <w:r>
        <w:rPr>
          <w:sz w:val="28"/>
          <w:szCs w:val="28"/>
        </w:rPr>
        <w:t xml:space="preserve"> город Пермь www.gorodperm.ru».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48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Трошкова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8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48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48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48"/>
        <w:jc w:val="right"/>
        <w:tabs>
          <w:tab w:val="clear" w:pos="720" w:leader="none"/>
          <w:tab w:val="right" w:pos="9915" w:leader="none"/>
        </w:tabs>
      </w:pPr>
      <w:r>
        <w:rPr>
          <w:sz w:val="28"/>
          <w:szCs w:val="28"/>
        </w:rPr>
      </w:r>
      <w:r>
        <w:rPr>
          <w:sz w:val="28"/>
          <w:szCs w:val="24"/>
        </w:rPr>
        <w:t xml:space="preserve"> Э.О. Соснин</w:t>
      </w:r>
      <w:r>
        <w:rPr>
          <w:sz w:val="28"/>
          <w:szCs w:val="28"/>
          <w:highlight w:val="none"/>
        </w:rPr>
      </w:r>
      <w:r/>
    </w:p>
    <w:p>
      <w:pPr>
        <w:tabs>
          <w:tab w:val="clear" w:pos="720" w:leader="none"/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8"/>
        <w:ind w:left="5669" w:right="0" w:firstLine="0"/>
        <w:spacing w:line="240" w:lineRule="exact"/>
        <w:rPr>
          <w:sz w:val="28"/>
          <w:szCs w:val="28"/>
        </w:rPr>
        <w:sectPr>
          <w:headerReference w:type="default" r:id="rId8"/>
          <w:headerReference w:type="even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40" w:lineRule="exact"/>
      </w:pPr>
      <w:r>
        <w:rPr>
          <w:sz w:val="28"/>
          <w:szCs w:val="28"/>
        </w:rPr>
        <w:t xml:space="preserve">УТВЕРЖДЕН</w:t>
      </w:r>
      <w:r/>
    </w:p>
    <w:p>
      <w:pPr>
        <w:pStyle w:val="748"/>
        <w:ind w:left="5669" w:right="0" w:firstLine="0"/>
        <w:spacing w:line="240" w:lineRule="exact"/>
      </w:pPr>
      <w:r>
        <w:rPr>
          <w:sz w:val="28"/>
          <w:szCs w:val="28"/>
        </w:rPr>
        <w:t xml:space="preserve">постановлением Главы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/>
    </w:p>
    <w:p>
      <w:pPr>
        <w:pStyle w:val="748"/>
        <w:ind w:left="5669" w:right="0" w:firstLine="0"/>
        <w:spacing w:line="240" w:lineRule="exact"/>
      </w:pPr>
      <w:r>
        <w:rPr>
          <w:sz w:val="28"/>
          <w:szCs w:val="28"/>
        </w:rPr>
        <w:t xml:space="preserve">от 18.06.2026 № 103</w:t>
      </w:r>
      <w:r/>
    </w:p>
    <w:p>
      <w:pPr>
        <w:pStyle w:val="818"/>
        <w:jc w:val="both"/>
        <w:spacing w:line="240" w:lineRule="exact"/>
      </w:pPr>
      <w:r/>
      <w:r/>
    </w:p>
    <w:p>
      <w:pPr>
        <w:pStyle w:val="818"/>
        <w:jc w:val="both"/>
        <w:spacing w:line="240" w:lineRule="exact"/>
      </w:pPr>
      <w:r/>
      <w:r/>
    </w:p>
    <w:p>
      <w:pPr>
        <w:pStyle w:val="748"/>
        <w:jc w:val="center"/>
        <w:spacing w:line="240" w:lineRule="exact"/>
        <w:widowControl w:val="off"/>
      </w:pPr>
      <w:r>
        <w:rPr>
          <w:b/>
          <w:sz w:val="28"/>
          <w:szCs w:val="28"/>
        </w:rPr>
        <w:t xml:space="preserve">СОСТАВ</w:t>
      </w:r>
      <w:r/>
    </w:p>
    <w:p>
      <w:pPr>
        <w:pStyle w:val="748"/>
        <w:jc w:val="center"/>
        <w:spacing w:line="240" w:lineRule="exact"/>
        <w:widowControl w:val="off"/>
      </w:pPr>
      <w:r>
        <w:rPr>
          <w:b/>
          <w:sz w:val="28"/>
          <w:szCs w:val="28"/>
        </w:rPr>
        <w:t xml:space="preserve">Совета по межнациональным и межконфессиональным отношениям </w:t>
        <w:br/>
        <w:t xml:space="preserve">при Главе города Перми</w:t>
      </w:r>
      <w:r/>
    </w:p>
    <w:p>
      <w:pPr>
        <w:pStyle w:val="748"/>
        <w:jc w:val="center"/>
        <w:spacing w:line="240" w:lineRule="exact"/>
        <w:widowControl w:val="off"/>
      </w:pPr>
      <w:r/>
      <w:r/>
    </w:p>
    <w:tbl>
      <w:tblPr>
        <w:tblW w:w="5000" w:type="pct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22"/>
        <w:gridCol w:w="5798"/>
      </w:tblGrid>
      <w:tr>
        <w:tblPrEx/>
        <w:trPr/>
        <w:tc>
          <w:tcPr>
            <w:gridSpan w:val="2"/>
            <w:tcW w:w="9920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Соснин </w:t>
              <w:br/>
              <w:t xml:space="preserve">Эдуард Олегович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Глава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9920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Трошков </w:t>
              <w:br/>
              <w:t xml:space="preserve">Сергей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главы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W w:w="9920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Секретарь: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Завьялова </w:t>
              <w:br/>
              <w:t xml:space="preserve">Анна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начальник отдела по межнациональным </w:t>
              <w:br/>
              <w:t xml:space="preserve">и межконфессиональным отношениям </w:t>
              <w:br/>
              <w:t xml:space="preserve">управления по вопросам общественного </w:t>
              <w:br/>
              <w:t xml:space="preserve">самоуправления и межнациональным </w:t>
              <w:br/>
              <w:t xml:space="preserve">отношениям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W w:w="9920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Члены: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Аблаев </w:t>
              <w:br/>
              <w:t xml:space="preserve">Анвар Арипович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централизованной религиозной организации «Региональное духовное </w:t>
              <w:br/>
              <w:t xml:space="preserve">управление мусульман Пермского края </w:t>
              <w:br/>
              <w:t xml:space="preserve">в составе Центрального духовного управления мусульман России», муфтий Пермского края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Алымкулов </w:t>
              <w:br/>
              <w:t xml:space="preserve">Асылбек Алишерович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Пермской региональной </w:t>
              <w:br/>
              <w:t xml:space="preserve">общественной организации «Союз </w:t>
              <w:br/>
              <w:t xml:space="preserve">кыргызстанцев»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r>
        <w:br w:type="page" w:clear="all"/>
      </w:r>
      <w:r/>
    </w:p>
    <w:tbl>
      <w:tblPr>
        <w:tblW w:w="5000" w:type="pct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22"/>
        <w:gridCol w:w="5798"/>
      </w:tblGrid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Байдин </w:t>
              <w:br/>
              <w:t xml:space="preserve">Алексей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Сове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общины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местной </w:t>
              <w:br/>
              <w:t xml:space="preserve">религиозной организации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Евангелическо-</w:t>
              <w:br/>
              <w:t xml:space="preserve">Лютеранск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Общин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Баяндина </w:t>
              <w:br/>
              <w:t xml:space="preserve">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Пермской региональной </w:t>
              <w:br/>
              <w:t xml:space="preserve">общественной организации «Общество </w:t>
              <w:br/>
              <w:t xml:space="preserve">российских немцев «Видергебурт» </w:t>
              <w:br/>
              <w:t xml:space="preserve">(Возрождение)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Бибарсов </w:t>
              <w:br/>
              <w:t xml:space="preserve">Ильхам Анвярович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Централизованной религиозной организации «Духовное управление мусульман Пермского края (Пермский Мухтасибат)»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Гарипов </w:t>
              <w:br/>
              <w:t xml:space="preserve">Радик Рауфисович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исполкома башкир города </w:t>
              <w:br/>
              <w:t xml:space="preserve">Перми «Курултай» (структурное </w:t>
              <w:br/>
              <w:t xml:space="preserve">подразделение региональной общественной </w:t>
              <w:br/>
              <w:t xml:space="preserve">организации башкир Пермского края </w:t>
              <w:br/>
              <w:t xml:space="preserve">«Курултай»)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Голдобин </w:t>
              <w:br/>
              <w:t xml:space="preserve">Вячеслав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чальника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Управления </w:t>
              <w:br/>
              <w:t xml:space="preserve">Министерства внутренних дел Российской </w:t>
              <w:br/>
              <w:t xml:space="preserve">Федерации по городу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-начальник </w:t>
              <w:br/>
              <w:t xml:space="preserve">полиции, полковник полиции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Горюнов </w:t>
              <w:br/>
              <w:t xml:space="preserve">Дмитрий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декан факультета культурологии </w:t>
              <w:br/>
              <w:t xml:space="preserve">и социально-культурных техно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логий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федерального государственного бюджетного образовательного учреждения высшего </w:t>
              <w:br/>
              <w:t xml:space="preserve">образования «Пермский государственный </w:t>
              <w:br/>
              <w:t xml:space="preserve">институт культуры»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Гулян </w:t>
              <w:br/>
              <w:t xml:space="preserve">Артур Робертович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председателя региональной </w:t>
              <w:br/>
              <w:t xml:space="preserve">общественной организации «Центр Армянской культуры Пермского края»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r>
        <w:br w:type="page" w:clear="all"/>
      </w:r>
      <w:r/>
    </w:p>
    <w:tbl>
      <w:tblPr>
        <w:tblW w:w="5000" w:type="pct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22"/>
        <w:gridCol w:w="5798"/>
      </w:tblGrid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Гурбанов </w:t>
              <w:br/>
              <w:t xml:space="preserve">Яшар Нарим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огл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региональной общественной </w:t>
              <w:br/>
              <w:t xml:space="preserve">организации «Содействие азербайджанцам Пермского края»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Дойч </w:t>
              <w:br/>
              <w:t xml:space="preserve">Шнеор Залман Ахарон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местной иудейской </w:t>
              <w:br/>
              <w:t xml:space="preserve">религиозной организации «Еврейская община </w:t>
              <w:br/>
              <w:t xml:space="preserve">г. Перми»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Закиров </w:t>
              <w:br/>
              <w:t xml:space="preserve">Руслан Рустамович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ТНКАП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мест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ной </w:t>
              <w:br/>
              <w:t xml:space="preserve">общественной организации «Татарская </w:t>
              <w:br/>
              <w:t xml:space="preserve">национально-культурная автономия г. Перми»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Ким </w:t>
              <w:br/>
              <w:t xml:space="preserve">Людмила Хаксеновна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корейской национально-</w:t>
              <w:br/>
              <w:t xml:space="preserve">культурной региональной общественной </w:t>
              <w:br/>
              <w:t xml:space="preserve">организации Пермского края «Бухаль»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Колесников </w:t>
              <w:br/>
              <w:t xml:space="preserve">Иван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настоятель Местной религиозной </w:t>
              <w:br/>
              <w:t xml:space="preserve">организации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Приход Непорочного Зачатия Пресвятой Девы Марии Римско-Католической Церкви в г. Перми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Кузьменко </w:t>
              <w:br/>
              <w:t xml:space="preserve">Константин Игоревич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начальник департамента общественной </w:t>
              <w:br/>
              <w:t xml:space="preserve">безопасности 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Кураспедиани </w:t>
              <w:br/>
              <w:t xml:space="preserve">Нино Костаевна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Пермской краевой </w:t>
              <w:br/>
              <w:t xml:space="preserve">общественной организации поддержки </w:t>
              <w:br/>
              <w:t xml:space="preserve">и развития грузинской культуры имени Раули Кураспедиани «Иберия»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Литовка </w:t>
              <w:br/>
              <w:t xml:space="preserve">Андрей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секре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религиозной организации </w:t>
              <w:br/>
              <w:t xml:space="preserve">«Пермская епархия Русской Православной Церкви (Московский патриархат)»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Малютин </w:t>
              <w:br/>
              <w:t xml:space="preserve">Дмитрий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Пермской городской Думы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Маматраимов </w:t>
              <w:br/>
              <w:t xml:space="preserve">Арапбай Маматович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правления региональной </w:t>
              <w:br/>
              <w:t xml:space="preserve">общественной организации «Союз узбеков Пермского края»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Михляева </w:t>
              <w:br/>
              <w:t xml:space="preserve">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начальника Управления </w:t>
              <w:br/>
              <w:t xml:space="preserve">Министерства юстиции Российской Федерации по Пермскому краю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Немцов </w:t>
              <w:br/>
              <w:t xml:space="preserve">Николай Федорович (Мефодий)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епархиальный архиерей религиозной </w:t>
              <w:br/>
              <w:t xml:space="preserve">организации «Пермская епархия Русской </w:t>
              <w:br/>
              <w:t xml:space="preserve">Православной Церкви (Московский </w:t>
              <w:br/>
              <w:t xml:space="preserve">патриархат)»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Нечаев </w:t>
              <w:br/>
              <w:t xml:space="preserve">Михаил Геннадьевич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оцент кафедры государственного управления и истории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федерального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автономного образовательного учреждения высшего образования «Пермский </w:t>
              <w:br/>
              <w:t xml:space="preserve">национальный исследовательский </w:t>
              <w:br/>
              <w:t xml:space="preserve">политехнический университет»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Пак </w:t>
              <w:br/>
              <w:t xml:space="preserve">Фавзия Сунгатовна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правления региональной </w:t>
              <w:br/>
              <w:t xml:space="preserve">общественной организации «Ассоциация </w:t>
              <w:br/>
              <w:t xml:space="preserve">дружбы и солидарности женщин тюркских </w:t>
              <w:br/>
              <w:t xml:space="preserve">народов Пермского края «Ак калфак»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Рослякова </w:t>
              <w:br/>
              <w:t xml:space="preserve">Наталья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комитета Пермской городской Думы по социальной политике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Санникова </w:t>
              <w:br/>
              <w:t xml:space="preserve">Татьяна Марковна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генеральный директор государственного </w:t>
              <w:br/>
              <w:t xml:space="preserve">краевого бюджетного учреждения культуры «Пермский дом народного творчества»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Сапко </w:t>
              <w:br/>
              <w:t xml:space="preserve">Игорь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Уполномоченный по правам человека </w:t>
              <w:br/>
              <w:t xml:space="preserve">Пермского края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Соснович </w:t>
              <w:br/>
              <w:t xml:space="preserve">Татьяна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региональной общественной </w:t>
              <w:br/>
              <w:t xml:space="preserve">организации «Пермская еврейская </w:t>
              <w:br/>
              <w:t xml:space="preserve">национально-культурная автономия»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Спиридонов </w:t>
              <w:br/>
              <w:t xml:space="preserve">Максим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председателя Пермской </w:t>
              <w:br/>
              <w:t xml:space="preserve">городской Думы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Субботина </w:t>
              <w:br/>
              <w:t xml:space="preserve">Анастасия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директор департамента национальных </w:t>
              <w:br/>
              <w:t xml:space="preserve">и религиозных отношений Администрации </w:t>
              <w:br/>
              <w:t xml:space="preserve">губернатора Пермского края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Султанов </w:t>
              <w:br/>
              <w:t xml:space="preserve">Алихан Салихбекович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совета краевой общественной организации «Община дагестанцев Пермского края»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Татауров </w:t>
              <w:br/>
              <w:t xml:space="preserve">Николай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настоятель храма местной религиозной </w:t>
              <w:br/>
              <w:t xml:space="preserve">организации «Старообрядческая община </w:t>
              <w:br/>
              <w:t xml:space="preserve">г. Перми Русской Православной </w:t>
              <w:br/>
              <w:t xml:space="preserve">Старообрядческой Церкви»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Тащян </w:t>
              <w:br/>
              <w:t xml:space="preserve">Григор Левонович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староста местной религиозной 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ганизации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−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Церковь «Сурб Григор Лусаворич» г. Перми Ново-Нахичеванской и Российской Епар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хии Армянской Апостольской Церкви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Тякина </w:t>
              <w:br/>
              <w:t xml:space="preserve">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начальник управления по вопросам </w:t>
              <w:br/>
              <w:t xml:space="preserve">общественного самоуправления </w:t>
              <w:br/>
              <w:t xml:space="preserve">и межнациональным отношениям </w:t>
              <w:br/>
              <w:t xml:space="preserve">администрации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Улитин </w:t>
              <w:br/>
              <w:t xml:space="preserve">Константин Вениаминович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заместитель начальника Центра </w:t>
              <w:br/>
              <w:t xml:space="preserve">по противодействию экстремизму главного Управления Министерства внутренних дел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России по Пермскому краю, полковник </w:t>
              <w:br/>
              <w:t xml:space="preserve">полиции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Федосеева </w:t>
              <w:br/>
              <w:t xml:space="preserve">Екатерина Леонидовна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член Молодежного Совета Общероссийского общественного движения «Ассоциация </w:t>
              <w:br/>
              <w:t xml:space="preserve">финно-угорских народов Российской </w:t>
              <w:br/>
              <w:t xml:space="preserve">Федерации»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Фельдман </w:t>
              <w:br/>
              <w:t xml:space="preserve">Александр Павлович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председатель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овета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МРО ИРО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естной </w:t>
              <w:br/>
              <w:t xml:space="preserve">религиозной организации «Иудейско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 </w:t>
              <w:br/>
              <w:t xml:space="preserve">религиозное общество» г. Перми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Чавлытко </w:t>
              <w:br/>
              <w:t xml:space="preserve">Михаил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Ассоциации белорусов </w:t>
              <w:br/>
              <w:t xml:space="preserve">Пермского края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122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Черных </w:t>
              <w:br/>
              <w:t xml:space="preserve">Александр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5798" w:type="dxa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Института гуманитарных </w:t>
              <w:br/>
              <w:t xml:space="preserve">исследований УрО РАН федерального </w:t>
              <w:br/>
              <w:t xml:space="preserve">государственного бюджетного учреждения </w:t>
              <w:br/>
              <w:t xml:space="preserve">науки Пермский федеральный </w:t>
              <w:br/>
              <w:t xml:space="preserve">исследовательский центр Уральского </w:t>
              <w:br/>
              <w:t xml:space="preserve">отделения Российской академии наук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18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748"/>
        <w:tabs>
          <w:tab w:val="clear" w:pos="720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  <w:rPr>
        <w:sz w:val="28"/>
        <w:szCs w:val="28"/>
      </w:rPr>
    </w:pPr>
    <w:r>
      <w:rPr>
        <w:sz w:val="28"/>
        <w:szCs w:val="28"/>
      </w:rPr>
      <w:t xml:space="preserve">PAGE   \* MERGEFORMAT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79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98"/>
                            <w:rPr>
                              <w:rStyle w:val="782"/>
                            </w:rPr>
                          </w:pPr>
                          <w:r>
                            <w:rPr>
                              <w:rStyle w:val="782"/>
                            </w:rPr>
                            <w:fldChar w:fldCharType="begin"/>
                          </w:r>
                          <w:r>
                            <w:rPr>
                              <w:rStyle w:val="782"/>
                            </w:rPr>
                            <w:instrText xml:space="preserve"> PAGE </w:instrText>
                          </w:r>
                          <w:r>
                            <w:rPr>
                              <w:rStyle w:val="782"/>
                            </w:rPr>
                            <w:fldChar w:fldCharType="separate"/>
                          </w:r>
                          <w:r>
                            <w:rPr>
                              <w:rStyle w:val="782"/>
                            </w:rPr>
                            <w:t xml:space="preserve">0</w:t>
                          </w:r>
                          <w:r>
                            <w:rPr>
                              <w:rStyle w:val="782"/>
                            </w:rPr>
                            <w:fldChar w:fldCharType="end"/>
                          </w:r>
                          <w:r>
                            <w:rPr>
                              <w:rStyle w:val="782"/>
                            </w:rPr>
                          </w:r>
                          <w:r>
                            <w:rPr>
                              <w:rStyle w:val="782"/>
                            </w:rPr>
                          </w:r>
                        </w:p>
                      </w:txbxContent>
                    </wps:txbx>
                    <wps:bodyPr lIns="36360" tIns="-21240" rIns="36360" bIns="-2124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98"/>
                      <w:rPr>
                        <w:rStyle w:val="782"/>
                      </w:rPr>
                    </w:pPr>
                    <w:r>
                      <w:rPr>
                        <w:rStyle w:val="782"/>
                      </w:rPr>
                      <w:fldChar w:fldCharType="begin"/>
                    </w:r>
                    <w:r>
                      <w:rPr>
                        <w:rStyle w:val="782"/>
                      </w:rPr>
                      <w:instrText xml:space="preserve"> PAGE </w:instrText>
                    </w:r>
                    <w:r>
                      <w:rPr>
                        <w:rStyle w:val="782"/>
                      </w:rPr>
                      <w:fldChar w:fldCharType="separate"/>
                    </w:r>
                    <w:r>
                      <w:rPr>
                        <w:rStyle w:val="782"/>
                      </w:rPr>
                      <w:t xml:space="preserve">0</w:t>
                    </w:r>
                    <w:r>
                      <w:rPr>
                        <w:rStyle w:val="782"/>
                      </w:rPr>
                      <w:fldChar w:fldCharType="end"/>
                    </w:r>
                    <w:r>
                      <w:rPr>
                        <w:rStyle w:val="782"/>
                      </w:rPr>
                    </w:r>
                    <w:r>
                      <w:rPr>
                        <w:rStyle w:val="78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49">
    <w:name w:val="Heading 1"/>
    <w:basedOn w:val="748"/>
    <w:qFormat/>
    <w:pPr>
      <w:ind w:right="-1" w:firstLine="709"/>
      <w:jc w:val="both"/>
      <w:keepNext/>
      <w:outlineLvl w:val="0"/>
    </w:pPr>
    <w:rPr>
      <w:sz w:val="24"/>
    </w:rPr>
  </w:style>
  <w:style w:type="paragraph" w:styleId="750">
    <w:name w:val="Heading 2"/>
    <w:basedOn w:val="748"/>
    <w:qFormat/>
    <w:pPr>
      <w:ind w:right="-1"/>
      <w:jc w:val="both"/>
      <w:keepNext/>
      <w:outlineLvl w:val="1"/>
    </w:pPr>
    <w:rPr>
      <w:sz w:val="24"/>
    </w:rPr>
  </w:style>
  <w:style w:type="paragraph" w:styleId="751">
    <w:name w:val="Heading 3"/>
    <w:basedOn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9">
    <w:name w:val="Heading 2 Char"/>
    <w:uiPriority w:val="9"/>
    <w:qFormat/>
    <w:rPr>
      <w:rFonts w:ascii="Arial" w:hAnsi="Arial" w:eastAsia="Arial" w:cs="Arial"/>
      <w:sz w:val="34"/>
    </w:rPr>
  </w:style>
  <w:style w:type="character" w:styleId="76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uiPriority w:val="10"/>
    <w:qFormat/>
    <w:rPr>
      <w:sz w:val="48"/>
      <w:szCs w:val="48"/>
    </w:rPr>
  </w:style>
  <w:style w:type="character" w:styleId="768">
    <w:name w:val="Subtitle Char"/>
    <w:uiPriority w:val="11"/>
    <w:qFormat/>
    <w:rPr>
      <w:sz w:val="24"/>
      <w:szCs w:val="24"/>
    </w:rPr>
  </w:style>
  <w:style w:type="character" w:styleId="769">
    <w:name w:val="Quote Char"/>
    <w:uiPriority w:val="29"/>
    <w:qFormat/>
    <w:rPr>
      <w:i/>
    </w:rPr>
  </w:style>
  <w:style w:type="character" w:styleId="770">
    <w:name w:val="Intense Quote Char"/>
    <w:uiPriority w:val="30"/>
    <w:qFormat/>
    <w:rPr>
      <w:i/>
    </w:rPr>
  </w:style>
  <w:style w:type="character" w:styleId="771">
    <w:name w:val="Header Char"/>
    <w:uiPriority w:val="99"/>
    <w:qFormat/>
  </w:style>
  <w:style w:type="character" w:styleId="772">
    <w:name w:val="Footer Char"/>
    <w:uiPriority w:val="99"/>
    <w:qFormat/>
  </w:style>
  <w:style w:type="character" w:styleId="773">
    <w:name w:val="Caption Char"/>
    <w:uiPriority w:val="99"/>
    <w:qFormat/>
  </w:style>
  <w:style w:type="character" w:styleId="774">
    <w:name w:val="Hyperlink"/>
    <w:uiPriority w:val="99"/>
    <w:unhideWhenUsed/>
    <w:rPr>
      <w:color w:val="0000ff" w:themeColor="hyperlink"/>
      <w:u w:val="single"/>
    </w:rPr>
  </w:style>
  <w:style w:type="character" w:styleId="775">
    <w:name w:val="Footnote Text Char"/>
    <w:uiPriority w:val="99"/>
    <w:qFormat/>
    <w:rPr>
      <w:sz w:val="18"/>
    </w:rPr>
  </w:style>
  <w:style w:type="character" w:styleId="776">
    <w:name w:val="Символ сноски"/>
    <w:uiPriority w:val="99"/>
    <w:unhideWhenUsed/>
    <w:qFormat/>
    <w:rPr>
      <w:vertAlign w:val="superscript"/>
    </w:rPr>
  </w:style>
  <w:style w:type="character" w:styleId="777">
    <w:name w:val="footnote reference"/>
    <w:rPr>
      <w:vertAlign w:val="superscript"/>
    </w:rPr>
  </w:style>
  <w:style w:type="character" w:styleId="778">
    <w:name w:val="Endnote Text Char"/>
    <w:uiPriority w:val="99"/>
    <w:qFormat/>
    <w:rPr>
      <w:sz w:val="20"/>
    </w:rPr>
  </w:style>
  <w:style w:type="character" w:styleId="77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0">
    <w:name w:val="endnote reference"/>
    <w:rPr>
      <w:vertAlign w:val="superscript"/>
    </w:rPr>
  </w:style>
  <w:style w:type="character" w:styleId="781">
    <w:name w:val="Основной шрифт абзаца"/>
    <w:semiHidden/>
    <w:qFormat/>
  </w:style>
  <w:style w:type="character" w:styleId="782">
    <w:name w:val="Page Number"/>
    <w:basedOn w:val="781"/>
  </w:style>
  <w:style w:type="character" w:styleId="783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84">
    <w:name w:val="Верхний колонтитул Знак"/>
    <w:uiPriority w:val="99"/>
    <w:qFormat/>
  </w:style>
  <w:style w:type="character" w:styleId="785" w:default="1">
    <w:name w:val="Default Paragraph Font"/>
    <w:uiPriority w:val="1"/>
    <w:semiHidden/>
    <w:unhideWhenUsed/>
    <w:qFormat/>
  </w:style>
  <w:style w:type="paragraph" w:styleId="786">
    <w:name w:val="Заголовок"/>
    <w:basedOn w:val="748"/>
    <w:next w:val="78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87">
    <w:name w:val="Body Text"/>
    <w:basedOn w:val="748"/>
    <w:pPr>
      <w:ind w:right="3117"/>
    </w:pPr>
    <w:rPr>
      <w:rFonts w:ascii="Courier New" w:hAnsi="Courier New"/>
      <w:sz w:val="26"/>
    </w:rPr>
  </w:style>
  <w:style w:type="paragraph" w:styleId="788">
    <w:name w:val="List"/>
    <w:basedOn w:val="787"/>
    <w:rPr>
      <w:rFonts w:cs="Lohit Devanagari"/>
    </w:rPr>
  </w:style>
  <w:style w:type="paragraph" w:styleId="789">
    <w:name w:val="Caption"/>
    <w:basedOn w:val="748"/>
    <w:link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0">
    <w:name w:val="Указатель"/>
    <w:basedOn w:val="748"/>
    <w:qFormat/>
    <w:pPr>
      <w:suppressLineNumbers/>
    </w:pPr>
    <w:rPr>
      <w:rFonts w:cs="Lohit Devanagari"/>
    </w:rPr>
  </w:style>
  <w:style w:type="paragraph" w:styleId="791">
    <w:name w:val="List Paragraph"/>
    <w:basedOn w:val="748"/>
    <w:uiPriority w:val="34"/>
    <w:qFormat/>
    <w:pPr>
      <w:contextualSpacing/>
      <w:ind w:left="720"/>
      <w:spacing w:before="0" w:after="0"/>
    </w:pPr>
  </w:style>
  <w:style w:type="paragraph" w:styleId="79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93">
    <w:name w:val="Title"/>
    <w:basedOn w:val="74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4">
    <w:name w:val="Subtitle"/>
    <w:basedOn w:val="748"/>
    <w:uiPriority w:val="11"/>
    <w:qFormat/>
    <w:pPr>
      <w:spacing w:before="200" w:after="200"/>
    </w:pPr>
    <w:rPr>
      <w:sz w:val="24"/>
      <w:szCs w:val="24"/>
    </w:rPr>
  </w:style>
  <w:style w:type="paragraph" w:styleId="795">
    <w:name w:val="Quote"/>
    <w:basedOn w:val="748"/>
    <w:uiPriority w:val="29"/>
    <w:qFormat/>
    <w:pPr>
      <w:ind w:left="720" w:right="720"/>
    </w:pPr>
    <w:rPr>
      <w:i/>
    </w:rPr>
  </w:style>
  <w:style w:type="paragraph" w:styleId="796">
    <w:name w:val="Intense Quote"/>
    <w:basedOn w:val="74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7">
    <w:name w:val="Колонтитул"/>
    <w:basedOn w:val="748"/>
    <w:qFormat/>
  </w:style>
  <w:style w:type="paragraph" w:styleId="798">
    <w:name w:val="Header"/>
    <w:basedOn w:val="748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9">
    <w:name w:val="Footer"/>
    <w:basedOn w:val="748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0">
    <w:name w:val="footnote text"/>
    <w:basedOn w:val="74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1">
    <w:name w:val="endnote text"/>
    <w:basedOn w:val="7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2">
    <w:name w:val="toc 1"/>
    <w:basedOn w:val="748"/>
    <w:uiPriority w:val="39"/>
    <w:unhideWhenUsed/>
    <w:pPr>
      <w:ind w:left="0" w:right="0" w:firstLine="0"/>
      <w:spacing w:before="0" w:after="57"/>
    </w:pPr>
  </w:style>
  <w:style w:type="paragraph" w:styleId="803">
    <w:name w:val="toc 2"/>
    <w:basedOn w:val="748"/>
    <w:uiPriority w:val="39"/>
    <w:unhideWhenUsed/>
    <w:pPr>
      <w:ind w:left="283" w:right="0" w:firstLine="0"/>
      <w:spacing w:before="0" w:after="57"/>
    </w:pPr>
  </w:style>
  <w:style w:type="paragraph" w:styleId="804">
    <w:name w:val="toc 3"/>
    <w:basedOn w:val="748"/>
    <w:uiPriority w:val="39"/>
    <w:unhideWhenUsed/>
    <w:pPr>
      <w:ind w:left="567" w:right="0" w:firstLine="0"/>
      <w:spacing w:before="0" w:after="57"/>
    </w:pPr>
  </w:style>
  <w:style w:type="paragraph" w:styleId="805">
    <w:name w:val="toc 4"/>
    <w:basedOn w:val="748"/>
    <w:uiPriority w:val="39"/>
    <w:unhideWhenUsed/>
    <w:pPr>
      <w:ind w:left="850" w:right="0" w:firstLine="0"/>
      <w:spacing w:before="0" w:after="57"/>
    </w:pPr>
  </w:style>
  <w:style w:type="paragraph" w:styleId="806">
    <w:name w:val="toc 5"/>
    <w:basedOn w:val="748"/>
    <w:uiPriority w:val="39"/>
    <w:unhideWhenUsed/>
    <w:pPr>
      <w:ind w:left="1134" w:right="0" w:firstLine="0"/>
      <w:spacing w:before="0" w:after="57"/>
    </w:pPr>
  </w:style>
  <w:style w:type="paragraph" w:styleId="807">
    <w:name w:val="toc 6"/>
    <w:basedOn w:val="748"/>
    <w:uiPriority w:val="39"/>
    <w:unhideWhenUsed/>
    <w:pPr>
      <w:ind w:left="1417" w:right="0" w:firstLine="0"/>
      <w:spacing w:before="0" w:after="57"/>
    </w:pPr>
  </w:style>
  <w:style w:type="paragraph" w:styleId="808">
    <w:name w:val="toc 7"/>
    <w:basedOn w:val="748"/>
    <w:uiPriority w:val="39"/>
    <w:unhideWhenUsed/>
    <w:pPr>
      <w:ind w:left="1701" w:right="0" w:firstLine="0"/>
      <w:spacing w:before="0" w:after="57"/>
    </w:pPr>
  </w:style>
  <w:style w:type="paragraph" w:styleId="809">
    <w:name w:val="toc 8"/>
    <w:basedOn w:val="748"/>
    <w:uiPriority w:val="39"/>
    <w:unhideWhenUsed/>
    <w:pPr>
      <w:ind w:left="1984" w:right="0" w:firstLine="0"/>
      <w:spacing w:before="0" w:after="57"/>
    </w:pPr>
  </w:style>
  <w:style w:type="paragraph" w:styleId="810">
    <w:name w:val="toc 9"/>
    <w:basedOn w:val="748"/>
    <w:uiPriority w:val="39"/>
    <w:unhideWhenUsed/>
    <w:pPr>
      <w:ind w:left="2268" w:right="0" w:firstLine="0"/>
      <w:spacing w:before="0" w:after="57"/>
    </w:pPr>
  </w:style>
  <w:style w:type="paragraph" w:styleId="811">
    <w:name w:val="Index Heading"/>
    <w:basedOn w:val="786"/>
  </w:style>
  <w:style w:type="paragraph" w:styleId="81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813">
    <w:name w:val="table of figures"/>
    <w:basedOn w:val="748"/>
    <w:uiPriority w:val="99"/>
    <w:unhideWhenUsed/>
    <w:pPr>
      <w:spacing w:before="0" w:after="0" w:afterAutospacing="0"/>
    </w:pPr>
  </w:style>
  <w:style w:type="paragraph" w:styleId="814">
    <w:name w:val="Название объекта"/>
    <w:basedOn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15">
    <w:name w:val="Body Text Indent"/>
    <w:basedOn w:val="748"/>
    <w:pPr>
      <w:ind w:right="-1"/>
      <w:jc w:val="both"/>
    </w:pPr>
    <w:rPr>
      <w:sz w:val="26"/>
    </w:rPr>
  </w:style>
  <w:style w:type="paragraph" w:styleId="816">
    <w:name w:val="Текст выноски"/>
    <w:basedOn w:val="748"/>
    <w:qFormat/>
    <w:rPr>
      <w:rFonts w:ascii="Segoe UI" w:hAnsi="Segoe UI" w:cs="Segoe UI"/>
      <w:sz w:val="18"/>
      <w:szCs w:val="18"/>
    </w:rPr>
  </w:style>
  <w:style w:type="paragraph" w:styleId="817" w:customStyle="1">
    <w:name w:val="Заголовок к тексту"/>
    <w:qFormat/>
    <w:pPr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u w:val="none"/>
      <w:vertAlign w:val="baseline"/>
      <w:lang w:val="ru-RU" w:eastAsia="zh-CN" w:bidi="ar-SA"/>
      <w14:ligatures w14:val="none"/>
    </w:rPr>
  </w:style>
  <w:style w:type="paragraph" w:styleId="818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819">
    <w:name w:val="Содержимое врезки"/>
    <w:basedOn w:val="748"/>
    <w:qFormat/>
  </w:style>
  <w:style w:type="numbering" w:styleId="820">
    <w:name w:val="Нет списка"/>
    <w:semiHidden/>
    <w:qFormat/>
  </w:style>
  <w:style w:type="numbering" w:styleId="821" w:default="1">
    <w:name w:val="No List"/>
    <w:uiPriority w:val="99"/>
    <w:semiHidden/>
    <w:unhideWhenUsed/>
    <w:qFormat/>
  </w:style>
  <w:style w:type="table" w:styleId="82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2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2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2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3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3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53</cp:revision>
  <dcterms:created xsi:type="dcterms:W3CDTF">2023-08-31T09:00:00Z</dcterms:created>
  <dcterms:modified xsi:type="dcterms:W3CDTF">2026-06-22T07:04:27Z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