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000000" w:themeColor="text1"/>
        </w:rPr>
      </w:pP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4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94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4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5"/>
        <w:ind w:right="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color w:val="000000" w:themeColor="text1"/>
        </w:rPr>
      </w:r>
      <w:bookmarkStart w:id="0" w:name="_GoBack"/>
      <w:r>
        <w:rPr>
          <w:color w:val="000000" w:themeColor="text1"/>
        </w:rPr>
      </w:r>
      <w:bookmarkEnd w:id="0"/>
      <w:r>
        <w:rPr>
          <w:rFonts w:ascii="Times New Roman" w:hAnsi="Times New Roman"/>
          <w:color w:val="000000" w:themeColor="text1"/>
          <w:sz w:val="24"/>
        </w:rPr>
      </w:r>
      <w:r>
        <w:rPr>
          <w:rFonts w:ascii="Times New Roman" w:hAnsi="Times New Roman"/>
          <w:color w:val="000000" w:themeColor="text1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</w:r>
      <w:r>
        <w:rPr>
          <w:rFonts w:ascii="Times New Roman" w:hAnsi="Times New Roman"/>
          <w:color w:val="000000" w:themeColor="text1"/>
          <w:sz w:val="24"/>
        </w:rPr>
      </w:r>
      <w:r>
        <w:rPr>
          <w:rFonts w:ascii="Times New Roman" w:hAnsi="Times New Roman"/>
          <w:color w:val="000000" w:themeColor="text1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</w:r>
      <w:r>
        <w:rPr>
          <w:rFonts w:ascii="Times New Roman" w:hAnsi="Times New Roman"/>
          <w:color w:val="000000" w:themeColor="text1"/>
          <w:sz w:val="24"/>
        </w:rPr>
      </w:r>
      <w:r>
        <w:rPr>
          <w:rFonts w:ascii="Times New Roman" w:hAnsi="Times New Roman"/>
          <w:color w:val="000000" w:themeColor="text1"/>
          <w:sz w:val="24"/>
        </w:rPr>
      </w:r>
    </w:p>
    <w:p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  <w:lang w:val="en-US"/>
        </w:rPr>
      </w: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379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379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22.06.2026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22.06.2026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2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pacing w:val="-2"/>
        </w:rPr>
      </w:r>
      <w:r>
        <w:rPr>
          <w:b/>
          <w:color w:val="000000" w:themeColor="text1"/>
          <w:spacing w:val="-2"/>
        </w:rPr>
        <w:t xml:space="preserve">О внесении изменений в</w:t>
      </w:r>
      <w:r>
        <w:rPr>
          <w:rFonts w:eastAsia="Calibri"/>
          <w:b/>
          <w:color w:val="000000" w:themeColor="text1"/>
          <w:lang w:eastAsia="en-US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постановление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адм</w:t>
      </w:r>
      <w:r>
        <w:rPr>
          <w:b/>
          <w:bCs/>
          <w:color w:val="000000" w:themeColor="text1"/>
          <w:sz w:val="28"/>
          <w:szCs w:val="28"/>
        </w:rPr>
        <w:t xml:space="preserve">инистрации </w:t>
      </w:r>
      <w:r>
        <w:rPr>
          <w:b/>
          <w:bCs/>
          <w:color w:val="000000" w:themeColor="text1"/>
          <w:sz w:val="28"/>
          <w:szCs w:val="28"/>
        </w:rPr>
        <w:t xml:space="preserve">горо</w:t>
      </w:r>
      <w:r>
        <w:rPr>
          <w:b/>
          <w:bCs/>
          <w:color w:val="000000" w:themeColor="text1"/>
          <w:sz w:val="28"/>
          <w:szCs w:val="28"/>
        </w:rPr>
        <w:t xml:space="preserve">да Перми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922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от 06.04.202</w:t>
      </w:r>
      <w:r>
        <w:rPr>
          <w:b/>
          <w:bCs/>
          <w:color w:val="000000" w:themeColor="text1"/>
          <w:sz w:val="28"/>
          <w:szCs w:val="28"/>
        </w:rPr>
        <w:t xml:space="preserve">1</w:t>
      </w:r>
      <w:r>
        <w:rPr>
          <w:b/>
          <w:bCs/>
          <w:color w:val="000000" w:themeColor="text1"/>
          <w:sz w:val="28"/>
          <w:szCs w:val="28"/>
        </w:rPr>
        <w:t xml:space="preserve"> № 230 </w:t>
      </w:r>
      <w:r>
        <w:rPr>
          <w:b/>
          <w:bCs/>
          <w:color w:val="000000" w:themeColor="text1"/>
          <w:sz w:val="28"/>
          <w:szCs w:val="28"/>
        </w:rPr>
        <w:t xml:space="preserve">«Об утверждении </w:t>
      </w:r>
      <w:r>
        <w:rPr>
          <w:rFonts w:eastAsia="Calibri"/>
          <w:b/>
          <w:color w:val="000000" w:themeColor="text1"/>
          <w:lang w:eastAsia="en-US"/>
        </w:rPr>
        <w:t xml:space="preserve">Порядка </w:t>
      </w:r>
      <w:r>
        <w:rPr>
          <w:rFonts w:eastAsia="Calibri"/>
          <w:b/>
          <w:color w:val="000000" w:themeColor="text1"/>
          <w:lang w:eastAsia="en-US"/>
        </w:rPr>
        <w:t xml:space="preserve">определения объема</w:t>
      </w:r>
      <w:r>
        <w:rPr>
          <w:b/>
          <w:color w:val="000000" w:themeColor="text1"/>
          <w:spacing w:val="-2"/>
        </w:rPr>
        <w:t xml:space="preserve"> </w:t>
      </w:r>
      <w:r>
        <w:rPr>
          <w:rFonts w:eastAsia="Calibri"/>
          <w:b/>
          <w:color w:val="000000" w:themeColor="text1"/>
          <w:lang w:eastAsia="en-US"/>
        </w:rPr>
        <w:t xml:space="preserve">и условий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922"/>
        <w:jc w:val="center"/>
        <w:spacing w:line="240" w:lineRule="exact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 xml:space="preserve">предоставления субсидий на иные цели </w:t>
      </w:r>
      <w:r>
        <w:rPr>
          <w:rFonts w:eastAsia="Calibri"/>
          <w:b/>
          <w:color w:val="000000" w:themeColor="text1"/>
          <w:lang w:eastAsia="en-US"/>
        </w:rPr>
        <w:t xml:space="preserve">бюджетным и автономным </w:t>
      </w:r>
      <w:r>
        <w:rPr>
          <w:rFonts w:eastAsia="Calibri"/>
          <w:b/>
          <w:bCs/>
          <w:color w:val="000000" w:themeColor="text1"/>
          <w:lang w:eastAsia="en-US"/>
        </w:rPr>
      </w:r>
      <w:r>
        <w:rPr>
          <w:rFonts w:eastAsia="Calibri"/>
          <w:b/>
          <w:bCs/>
          <w:color w:val="000000" w:themeColor="text1"/>
          <w:lang w:eastAsia="en-US"/>
        </w:rPr>
      </w:r>
    </w:p>
    <w:p>
      <w:pPr>
        <w:pStyle w:val="922"/>
        <w:jc w:val="center"/>
        <w:spacing w:line="240" w:lineRule="exact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 xml:space="preserve">учреждениям </w:t>
      </w:r>
      <w:r>
        <w:rPr>
          <w:rFonts w:eastAsia="Calibri"/>
          <w:b/>
          <w:color w:val="000000" w:themeColor="text1"/>
          <w:lang w:eastAsia="en-US"/>
        </w:rPr>
        <w:t xml:space="preserve">на устройство спортивных площадок </w:t>
      </w:r>
      <w:r>
        <w:rPr>
          <w:rFonts w:eastAsia="Calibri"/>
          <w:b/>
          <w:color w:val="000000" w:themeColor="text1"/>
          <w:lang w:eastAsia="en-US"/>
        </w:rPr>
        <w:t xml:space="preserve">и оснащение объектов </w:t>
      </w:r>
      <w:r>
        <w:rPr>
          <w:rFonts w:eastAsia="Calibri"/>
          <w:b/>
          <w:bCs/>
          <w:color w:val="000000" w:themeColor="text1"/>
          <w:lang w:eastAsia="en-US"/>
        </w:rPr>
      </w:r>
      <w:r>
        <w:rPr>
          <w:rFonts w:eastAsia="Calibri"/>
          <w:b/>
          <w:bCs/>
          <w:color w:val="000000" w:themeColor="text1"/>
          <w:lang w:eastAsia="en-US"/>
        </w:rPr>
      </w:r>
    </w:p>
    <w:p>
      <w:pPr>
        <w:pStyle w:val="922"/>
        <w:jc w:val="center"/>
        <w:spacing w:line="240" w:lineRule="exact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 xml:space="preserve">спортивным </w:t>
      </w:r>
      <w:r>
        <w:rPr>
          <w:rFonts w:eastAsia="Calibri"/>
          <w:b/>
          <w:color w:val="000000" w:themeColor="text1"/>
          <w:lang w:eastAsia="en-US"/>
        </w:rPr>
        <w:t xml:space="preserve">оборудованием и инвентарем </w:t>
      </w:r>
      <w:r>
        <w:rPr>
          <w:rFonts w:eastAsia="Calibri"/>
          <w:b/>
          <w:color w:val="000000" w:themeColor="text1"/>
          <w:lang w:eastAsia="en-US"/>
        </w:rPr>
        <w:t xml:space="preserve">для занятий физической </w:t>
      </w:r>
      <w:r>
        <w:rPr>
          <w:rFonts w:eastAsia="Calibri"/>
          <w:b/>
          <w:bCs/>
          <w:color w:val="000000" w:themeColor="text1"/>
          <w:lang w:eastAsia="en-US"/>
        </w:rPr>
      </w:r>
      <w:r>
        <w:rPr>
          <w:rFonts w:eastAsia="Calibri"/>
          <w:b/>
          <w:bCs/>
          <w:color w:val="000000" w:themeColor="text1"/>
          <w:lang w:eastAsia="en-US"/>
        </w:rPr>
      </w:r>
    </w:p>
    <w:p>
      <w:pPr>
        <w:pStyle w:val="922"/>
        <w:jc w:val="center"/>
        <w:spacing w:line="240" w:lineRule="exact"/>
        <w:rPr>
          <w:b/>
          <w:bCs/>
          <w:color w:val="000000" w:themeColor="text1"/>
          <w:spacing w:val="-2"/>
        </w:rPr>
      </w:pPr>
      <w:r>
        <w:rPr>
          <w:rFonts w:eastAsia="Calibri"/>
          <w:b/>
          <w:color w:val="000000" w:themeColor="text1"/>
          <w:lang w:eastAsia="en-US"/>
        </w:rPr>
        <w:t xml:space="preserve">культурой </w:t>
      </w:r>
      <w:r>
        <w:rPr>
          <w:rFonts w:eastAsia="Calibri"/>
          <w:b/>
          <w:color w:val="000000" w:themeColor="text1"/>
          <w:lang w:eastAsia="en-US"/>
        </w:rPr>
        <w:t xml:space="preserve">и спортом»</w:t>
      </w:r>
      <w:r>
        <w:rPr>
          <w:b/>
          <w:bCs/>
          <w:color w:val="000000" w:themeColor="text1"/>
          <w:spacing w:val="-2"/>
        </w:rPr>
      </w:r>
      <w:r>
        <w:rPr>
          <w:b/>
          <w:bCs/>
          <w:color w:val="000000" w:themeColor="text1"/>
          <w:spacing w:val="-2"/>
        </w:rPr>
      </w:r>
    </w:p>
    <w:p>
      <w:pPr>
        <w:pStyle w:val="922"/>
        <w:ind w:firstLine="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2"/>
        <w:ind w:firstLine="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2"/>
        <w:ind w:firstLine="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актуализации нормативных правовых актов администрации города Перми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администрация города Перми ПОСТАНОВЛЯЕТ: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3"/>
        <w:ind w:firstLine="720"/>
        <w:jc w:val="both"/>
        <w:spacing w:before="0" w:beforeAutospacing="0" w:after="0" w:afterAutospacing="0"/>
        <w:rPr>
          <w:rFonts w:eastAsia="Calibri"/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1.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Внести изменения в </w:t>
      </w:r>
      <w:r>
        <w:rPr>
          <w:color w:val="000000" w:themeColor="text1"/>
          <w:sz w:val="28"/>
          <w:szCs w:val="28"/>
        </w:rPr>
        <w:t xml:space="preserve">постановление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администрации города Перми</w:t>
        <w:br/>
        <w:t xml:space="preserve">от 06 апреля 2021 г. № 230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«Об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утверждении Порядка определения объема </w:t>
        <w:br/>
        <w:t xml:space="preserve">и условий предоставления субсидий на иные цели бюджетным и автономным учреждениям на устройство спортивных площадок и оснащение объектов спортивным оборудованием и инвентарем для занятий физической культурой </w:t>
        <w:br/>
        <w:t xml:space="preserve">и спорт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ом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»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(в ред. от 24.06.2021 </w:t>
      </w:r>
      <w:r>
        <w:rPr>
          <w:rFonts w:eastAsia="Calibri"/>
          <w:color w:val="000000" w:themeColor="text1"/>
          <w:sz w:val="28"/>
          <w:szCs w:val="28"/>
        </w:rPr>
        <w:t xml:space="preserve">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467,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от 08.04.2022 </w:t>
      </w:r>
      <w:r>
        <w:rPr>
          <w:rFonts w:eastAsia="Calibri"/>
          <w:color w:val="000000" w:themeColor="text1"/>
          <w:sz w:val="28"/>
          <w:szCs w:val="28"/>
        </w:rPr>
        <w:t xml:space="preserve">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256, от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26.12.2022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1370, от 28.12.2022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1405,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от 26.05.2023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430, от 07.12.2023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1391, от 27.06.2024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  <w:br/>
        <w:t xml:space="preserve">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544, от 30.07.2024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609, от 08.08.2024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634, о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т 21.07.2025 № 473)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, изложив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преамбулу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в следующей редакции:</w:t>
      </w:r>
      <w:r>
        <w:rPr>
          <w:rFonts w:eastAsia="Calibri"/>
          <w:color w:val="000000" w:themeColor="text1"/>
          <w:sz w:val="28"/>
          <w:szCs w:val="28"/>
          <w14:ligatures w14:val="none"/>
        </w:rPr>
      </w:r>
      <w:r>
        <w:rPr>
          <w:rFonts w:eastAsia="Calibri"/>
          <w:color w:val="000000" w:themeColor="text1"/>
          <w:sz w:val="28"/>
          <w:szCs w:val="28"/>
          <w14:ligatures w14:val="none"/>
        </w:rPr>
      </w:r>
    </w:p>
    <w:p>
      <w:pPr>
        <w:pStyle w:val="983"/>
        <w:ind w:firstLine="720"/>
        <w:jc w:val="both"/>
        <w:spacing w:before="0" w:beforeAutospacing="0" w:after="0" w:afterAutospacing="0"/>
        <w:rPr>
          <w:rFonts w:eastAsia="Calibri"/>
          <w:color w:val="000000" w:themeColor="text1"/>
          <w:sz w:val="28"/>
          <w:szCs w:val="28"/>
          <w14:ligatures w14:val="none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«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В соответствии с </w:t>
      </w:r>
      <w:hyperlink r:id="rId13" w:tooltip="https://login.consultant.ru/link/?req=doc&amp;base=LAW&amp;n=355977&amp;dst=3146&amp;field=134&amp;date=29.04.2026" w:history="1">
        <w:r>
          <w:rPr>
            <w:rFonts w:eastAsia="Calibri"/>
            <w:color w:val="000000" w:themeColor="text1"/>
            <w:sz w:val="28"/>
            <w:szCs w:val="28"/>
            <w:lang w:eastAsia="en-US"/>
          </w:rPr>
          <w:t xml:space="preserve">абзацем вторым пункта 1 статьи 78.1</w:t>
        </w:r>
      </w:hyperlink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Бюджетного кодекса Российской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Федерации, </w:t>
      </w:r>
      <w:hyperlink r:id="rId14" w:tooltip="https://login.consultant.ru/link/?req=doc&amp;base=LAW&amp;n=360276&amp;date=29.04.2026" w:history="1">
        <w:r>
          <w:rPr>
            <w:rFonts w:eastAsia="Calibri"/>
            <w:color w:val="000000" w:themeColor="text1"/>
            <w:sz w:val="28"/>
            <w:szCs w:val="28"/>
            <w:lang w:eastAsia="en-US"/>
          </w:rPr>
          <w:t xml:space="preserve">постановлением</w:t>
        </w:r>
      </w:hyperlink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Правительства Российской Федерации </w:t>
        <w:br/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ий на иные цели», п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остановлением Правительства Пермского края </w:t>
        <w:br/>
        <w:t xml:space="preserve">от 31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октября 2024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г.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№ 844-п «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Об установлении расходного обязательства Пермского края на реализацию мероприятий по устройству спортивных площадок и оснащению объектов спортивным оборудованием и инвентарем для занятий физической культурой и спортом», Уставом города Перми</w:t>
      </w:r>
      <w:r>
        <w:rPr>
          <w:rFonts w:eastAsia="Calibri"/>
          <w:color w:val="000000" w:themeColor="text1"/>
          <w:sz w:val="28"/>
          <w:szCs w:val="28"/>
          <w14:ligatures w14:val="none"/>
        </w:rPr>
      </w:r>
      <w:r>
        <w:rPr>
          <w:rFonts w:eastAsia="Calibri"/>
          <w:color w:val="000000" w:themeColor="text1"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eastAsia="Calibri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администрация города Перми ПОСТАНОВЛЯЕТ:»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eastAsia="Calibri"/>
          <w:color w:val="000000" w:themeColor="text1"/>
          <w:sz w:val="24"/>
          <w:szCs w:val="24"/>
          <w14:ligatures w14:val="none"/>
        </w:rPr>
      </w:r>
      <w:r>
        <w:rPr>
          <w:rFonts w:eastAsia="Calibri"/>
          <w:color w:val="000000" w:themeColor="text1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Внести в Порядок определения объема и условий предоставления субсидий на иные цели бюджетным и автономн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ы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м учреждениям на устройство спортивных площадок и оснащение объектов спортивным оборудованием и инвентарем </w:t>
        <w:br/>
        <w:t xml:space="preserve">для занятий физической культурой и спортом, утвержденный постановлением администрации города Перми от 06 апреля 2021 г. № 230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(в ред. от 24.06.2021 </w:t>
        <w:br/>
      </w:r>
      <w:r>
        <w:rPr>
          <w:rFonts w:eastAsia="Calibri"/>
          <w:color w:val="000000" w:themeColor="text1"/>
          <w:sz w:val="28"/>
          <w:szCs w:val="28"/>
        </w:rPr>
        <w:t xml:space="preserve">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467,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от 08.04.2022 </w:t>
      </w:r>
      <w:r>
        <w:rPr>
          <w:rFonts w:eastAsia="Calibri"/>
          <w:color w:val="000000" w:themeColor="text1"/>
          <w:sz w:val="28"/>
          <w:szCs w:val="28"/>
        </w:rPr>
        <w:t xml:space="preserve">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256, от 26.12.2022 </w:t>
      </w:r>
      <w:r>
        <w:rPr>
          <w:rFonts w:eastAsia="Calibri"/>
          <w:color w:val="000000" w:themeColor="text1"/>
          <w:sz w:val="28"/>
          <w:szCs w:val="28"/>
        </w:rPr>
        <w:t xml:space="preserve">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1370, от 28.12.2022 </w:t>
      </w:r>
      <w:r>
        <w:rPr>
          <w:rFonts w:eastAsia="Calibri"/>
          <w:color w:val="000000" w:themeColor="text1"/>
          <w:sz w:val="28"/>
          <w:szCs w:val="28"/>
        </w:rPr>
        <w:t xml:space="preserve">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1405, </w:t>
        <w:br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от 26.05.2023 </w:t>
      </w:r>
      <w:r>
        <w:rPr>
          <w:rFonts w:eastAsia="Calibri"/>
          <w:color w:val="000000" w:themeColor="text1"/>
          <w:sz w:val="28"/>
          <w:szCs w:val="28"/>
        </w:rPr>
        <w:t xml:space="preserve">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430, от 07.12.2023 </w:t>
      </w:r>
      <w:r>
        <w:rPr>
          <w:rFonts w:eastAsia="Calibri"/>
          <w:color w:val="000000" w:themeColor="text1"/>
          <w:sz w:val="28"/>
          <w:szCs w:val="28"/>
        </w:rPr>
        <w:t xml:space="preserve">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1391, от 27.06.2024</w:t>
      </w:r>
      <w:r>
        <w:rPr>
          <w:rFonts w:eastAsia="Calibri"/>
          <w:color w:val="000000" w:themeColor="text1"/>
          <w:sz w:val="28"/>
          <w:szCs w:val="28"/>
        </w:rPr>
        <w:t xml:space="preserve"> 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544, от 30.07.2024 </w:t>
        <w:br/>
      </w:r>
      <w:r>
        <w:rPr>
          <w:rFonts w:eastAsia="Calibri"/>
          <w:color w:val="000000" w:themeColor="text1"/>
          <w:sz w:val="28"/>
          <w:szCs w:val="28"/>
        </w:rPr>
        <w:t xml:space="preserve">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609, от 08.08.2024 </w:t>
      </w:r>
      <w:r>
        <w:rPr>
          <w:rFonts w:eastAsia="Calibri"/>
          <w:color w:val="000000" w:themeColor="text1"/>
          <w:sz w:val="28"/>
          <w:szCs w:val="28"/>
        </w:rPr>
        <w:t xml:space="preserve">№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634, от 21.07.2025 № 473),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eastAsia="Calibri"/>
          <w:color w:val="000000" w:themeColor="text1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2.1. в пункте 1.5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цифры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«2025» заменить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цифрами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«2026»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;</w:t>
      </w:r>
      <w:r>
        <w:rPr>
          <w:rFonts w:eastAsia="Calibri"/>
          <w:color w:val="000000" w:themeColor="text1"/>
          <w:sz w:val="28"/>
          <w:szCs w:val="28"/>
          <w:lang w:eastAsia="en-US"/>
          <w14:ligatures w14:val="none"/>
        </w:rPr>
      </w:r>
      <w:r>
        <w:rPr>
          <w:rFonts w:eastAsia="Calibri"/>
          <w:color w:val="000000" w:themeColor="text1"/>
          <w:sz w:val="28"/>
          <w:szCs w:val="28"/>
          <w:lang w:eastAsia="en-US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абзац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третий пункта 2.1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hyperlink r:id="rId15" w:tooltip="https://login.consultant.ru/link/?req=doc&amp;base=RLAW368&amp;n=210758&amp;dst=100076&amp;field=134&amp;date=08.05.2026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расчет-обоснование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предоставления субсидий, включая перечень объектов, подлежащих устройству, согласно приложению 1 к настоящему Порядку, акт обследования таких объектов и дефектную ведомость, предварительную смету </w:t>
        <w:br/>
        <w:t xml:space="preserve">на выполнение соответству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ющих работ (оказание услуг), предложения поставщиков (подрядчиков, исполнителей);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2.5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«2.5. Размер 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бсидии на иные цели определяется на основании сметных расчетов на устройство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комплексной площадки для подвижных игр (универсальной игровой площадки), площадки для хоккея с шайбой (хоккейной площадки)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выполнение работ по устройству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комплексной площадки для подвижных игр (универсальной игровой площадки), площадки для хоккея с шайбой (хоккейной площадки)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поставку и установку спортивного оборудования и инвентаря </w:t>
        <w:br/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комплексной площадке для подвижных игр (универсальной игровой площадке), площадке для хоккея с шайбой (хоккейной площадке)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разработку проекта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комплексной площадки для подвижных игр (универсальной игровой площадки), площадки для хоккея с шайбой (хоккейной площадки)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eastAsia="Calibri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2.4. в </w:t>
      </w:r>
      <w:r>
        <w:rPr>
          <w:color w:val="000000" w:themeColor="text1"/>
          <w:sz w:val="28"/>
          <w:szCs w:val="28"/>
        </w:rPr>
        <w:t xml:space="preserve">абзаце </w:t>
      </w:r>
      <w:r>
        <w:rPr>
          <w:color w:val="000000" w:themeColor="text1"/>
          <w:sz w:val="28"/>
          <w:szCs w:val="28"/>
        </w:rPr>
        <w:t xml:space="preserve">третьем пункта 2.8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цифры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«2025» заменить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цифрами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«2026»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;</w:t>
      </w:r>
      <w:r>
        <w:rPr>
          <w:rFonts w:eastAsia="Calibri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eastAsia="Calibri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eastAsia="Calibri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2.5.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2.13 изложить в следующей редакции: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«2.13. Результатом предоставления субсидий на иные цели является количество устроенных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комплексных площадок для подвижных игр (универсальных игровых площадок), площадок для хоккея с шайбой (хоккейных площадок)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(единиц), единовременная пропускная способность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комплексных площадок для подвижных игр (универсальных игровых площадок), площадок </w:t>
        <w:br/>
        <w:t xml:space="preserve">для хоккея с шайбой (хоккейных площадок)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(человек), уровень обеспеченности населения спортивными сооружениями, исходя из единовре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менной пропускной способности объектов спорта в рамках выполнения мероприятий муниципальной программы «Развитие физической культуры и спорта города Перми». План мероприятий по достижению результатов предоставления субсидии на иные цели устанавливается Согл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ашением.»;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en-US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highlight w:val="none"/>
          <w:lang w:eastAsia="en-US"/>
          <w14:ligatures w14:val="none"/>
        </w:rPr>
        <w:t xml:space="preserve">2.</w:t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  <w:t xml:space="preserve">6. </w:t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  <w:t xml:space="preserve">приложение 1 изложить в редакции согласно приложению к настоящему постановлению.</w:t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983"/>
        <w:ind w:left="0" w:right="0" w:firstLine="720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3. Настояще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вступает в силу со дня официально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3"/>
        <w:ind w:left="0" w:right="0" w:firstLine="720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Управлению по общим вопр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3"/>
        <w:ind w:left="0" w:right="0" w:firstLine="720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6" w:tooltip="&lt;div class=&quot;doc www&quot;&gt;&lt;span class=&quot;aligner&quot;&gt;&lt;div class=&quot;icon listDocWWW-16&quot;&gt;&lt;/div&gt;&lt;/span&gt;www.gorodperm.ru&lt;/div&gt;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 Контроль 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исполнением настоящего постановления возложить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на заместителя главы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администрации города Перми Мальцеву Е.Д.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line="240" w:lineRule="exact"/>
        <w:tabs>
          <w:tab w:val="left" w:pos="7088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Глава города Перми </w:t>
      </w:r>
      <w:r>
        <w:rPr>
          <w:color w:val="000000" w:themeColor="text1"/>
          <w:sz w:val="28"/>
          <w:szCs w:val="28"/>
        </w:rPr>
        <w:tab/>
        <w:t xml:space="preserve">                   Э.О. Соснин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shd w:val="nil" w:color="auto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left="0" w:right="0" w:firstLine="5528"/>
        <w:jc w:val="left"/>
        <w:spacing w:line="240" w:lineRule="exact"/>
        <w:tabs>
          <w:tab w:val="left" w:pos="7088" w:leader="none"/>
        </w:tabs>
        <w:rPr>
          <w:sz w:val="28"/>
          <w:szCs w:val="28"/>
          <w:highlight w:val="none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528"/>
        <w:jc w:val="left"/>
        <w:spacing w:line="240" w:lineRule="exact"/>
        <w:tabs>
          <w:tab w:val="left" w:pos="708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Приложение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528"/>
        <w:jc w:val="left"/>
        <w:spacing w:line="240" w:lineRule="exact"/>
        <w:tabs>
          <w:tab w:val="left" w:pos="708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к постановлению администрации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528"/>
        <w:jc w:val="left"/>
        <w:spacing w:line="240" w:lineRule="exact"/>
        <w:tabs>
          <w:tab w:val="left" w:pos="708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528"/>
        <w:jc w:val="left"/>
        <w:spacing w:line="240" w:lineRule="exact"/>
        <w:tabs>
          <w:tab w:val="left" w:pos="708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 </w:t>
      </w:r>
      <w:r>
        <w:rPr>
          <w:sz w:val="28"/>
          <w:szCs w:val="28"/>
          <w:highlight w:val="none"/>
        </w:rPr>
        <w:t xml:space="preserve">22.06.2026 № 379</w:t>
      </w:r>
      <w:r>
        <w:rPr>
          <w:sz w:val="28"/>
          <w:szCs w:val="28"/>
          <w:highlight w:val="none"/>
        </w:rPr>
      </w:r>
    </w:p>
    <w:p>
      <w:pPr>
        <w:ind w:left="0" w:right="0" w:firstLine="5528"/>
        <w:jc w:val="left"/>
        <w:spacing w:line="240" w:lineRule="exact"/>
        <w:tabs>
          <w:tab w:val="left" w:pos="708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528"/>
        <w:jc w:val="left"/>
        <w:spacing w:line="240" w:lineRule="exact"/>
        <w:tabs>
          <w:tab w:val="left" w:pos="708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528"/>
        <w:jc w:val="left"/>
        <w:spacing w:line="240" w:lineRule="exact"/>
        <w:tabs>
          <w:tab w:val="left" w:pos="708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РАСЧЕТ-ОБОСНОВАНИЕ</w:t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суммы субсидий на иные цели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0" w:right="0" w:firstLine="0"/>
        <w:jc w:val="center"/>
        <w:spacing w:before="0" w:after="0" w:line="238" w:lineRule="exact"/>
        <w:rPr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на 20___ год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учреждения)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93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435"/>
        <w:gridCol w:w="6450"/>
        <w:gridCol w:w="303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показателя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Сумма субсидий на иные цели,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Устройство и оснащение спортивным оборудованием и инвентарем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комплексной площадки для подвижных игр (универсальной игровой площадки)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Устройство и оснащение спортивным оборудованием и инвентарем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площадки для хоккея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 шайбой (хоккейной площадки)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Итого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</w:t>
        <w:br/>
        <w:t xml:space="preserve">с законодательством Российской Федерации о налогах и сборах.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</w:t>
        <w:br/>
        <w:t xml:space="preserve">с иными правовыми актами, и иной просроченной задолженности перед бюджетом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3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705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Руководитель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(подпись, расшифровка подписи)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«_____» ___________ _____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hd w:val="nil" w:color="000000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shd w:val="nil" w:color="000000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Times New Roman" w:hAnsi="Times New Roman" w:eastAsia="Times New Roman" w:cs="Times New Roman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891"/>
    <w:link w:val="889"/>
    <w:uiPriority w:val="9"/>
    <w:rPr>
      <w:rFonts w:ascii="Arial" w:hAnsi="Arial" w:eastAsia="Arial" w:cs="Arial"/>
      <w:sz w:val="40"/>
      <w:szCs w:val="40"/>
    </w:rPr>
  </w:style>
  <w:style w:type="character" w:styleId="720">
    <w:name w:val="Heading 2 Char"/>
    <w:basedOn w:val="891"/>
    <w:link w:val="890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88"/>
    <w:next w:val="888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basedOn w:val="891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88"/>
    <w:next w:val="888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1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88"/>
    <w:next w:val="888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1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88"/>
    <w:next w:val="888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88"/>
    <w:next w:val="888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1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88"/>
    <w:next w:val="888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1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88"/>
    <w:next w:val="888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1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Title"/>
    <w:basedOn w:val="888"/>
    <w:next w:val="888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1"/>
    <w:link w:val="735"/>
    <w:uiPriority w:val="10"/>
    <w:rPr>
      <w:sz w:val="48"/>
      <w:szCs w:val="48"/>
    </w:rPr>
  </w:style>
  <w:style w:type="paragraph" w:styleId="737">
    <w:name w:val="Subtitle"/>
    <w:basedOn w:val="888"/>
    <w:next w:val="888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1"/>
    <w:link w:val="737"/>
    <w:uiPriority w:val="11"/>
    <w:rPr>
      <w:sz w:val="24"/>
      <w:szCs w:val="24"/>
    </w:rPr>
  </w:style>
  <w:style w:type="paragraph" w:styleId="739">
    <w:name w:val="Quote"/>
    <w:basedOn w:val="888"/>
    <w:next w:val="888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88"/>
    <w:next w:val="888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1"/>
    <w:link w:val="899"/>
    <w:uiPriority w:val="99"/>
  </w:style>
  <w:style w:type="character" w:styleId="744">
    <w:name w:val="Footer Char"/>
    <w:basedOn w:val="891"/>
    <w:link w:val="897"/>
    <w:uiPriority w:val="99"/>
  </w:style>
  <w:style w:type="character" w:styleId="745">
    <w:name w:val="Caption Char"/>
    <w:basedOn w:val="891"/>
    <w:link w:val="894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5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6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7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8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9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0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91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91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</w:style>
  <w:style w:type="paragraph" w:styleId="889">
    <w:name w:val="Heading 1"/>
    <w:basedOn w:val="888"/>
    <w:next w:val="888"/>
    <w:qFormat/>
    <w:pPr>
      <w:ind w:right="-1" w:firstLine="709"/>
      <w:jc w:val="both"/>
      <w:keepNext/>
      <w:outlineLvl w:val="0"/>
    </w:pPr>
    <w:rPr>
      <w:sz w:val="24"/>
    </w:rPr>
  </w:style>
  <w:style w:type="paragraph" w:styleId="890">
    <w:name w:val="Heading 2"/>
    <w:basedOn w:val="888"/>
    <w:next w:val="888"/>
    <w:qFormat/>
    <w:pPr>
      <w:ind w:right="-1"/>
      <w:jc w:val="both"/>
      <w:keepNext/>
      <w:outlineLvl w:val="1"/>
    </w:pPr>
    <w:rPr>
      <w:sz w:val="24"/>
    </w:rPr>
  </w:style>
  <w:style w:type="character" w:styleId="891" w:default="1">
    <w:name w:val="Default Paragraph Font"/>
    <w:semiHidden/>
  </w:style>
  <w:style w:type="table" w:styleId="892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semiHidden/>
  </w:style>
  <w:style w:type="paragraph" w:styleId="894">
    <w:name w:val="Caption"/>
    <w:basedOn w:val="888"/>
    <w:next w:val="888"/>
    <w:link w:val="74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5">
    <w:name w:val="Body Text"/>
    <w:basedOn w:val="888"/>
    <w:link w:val="923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888"/>
    <w:pPr>
      <w:ind w:right="-1"/>
      <w:jc w:val="both"/>
    </w:pPr>
    <w:rPr>
      <w:sz w:val="26"/>
    </w:rPr>
  </w:style>
  <w:style w:type="paragraph" w:styleId="897">
    <w:name w:val="Footer"/>
    <w:basedOn w:val="888"/>
    <w:link w:val="982"/>
    <w:uiPriority w:val="99"/>
    <w:pPr>
      <w:tabs>
        <w:tab w:val="center" w:pos="4153" w:leader="none"/>
        <w:tab w:val="right" w:pos="8306" w:leader="none"/>
      </w:tabs>
    </w:pPr>
  </w:style>
  <w:style w:type="character" w:styleId="898">
    <w:name w:val="page number"/>
    <w:basedOn w:val="891"/>
  </w:style>
  <w:style w:type="paragraph" w:styleId="899">
    <w:name w:val="Header"/>
    <w:basedOn w:val="888"/>
    <w:link w:val="902"/>
    <w:uiPriority w:val="99"/>
    <w:pPr>
      <w:tabs>
        <w:tab w:val="center" w:pos="4153" w:leader="none"/>
        <w:tab w:val="right" w:pos="8306" w:leader="none"/>
      </w:tabs>
    </w:pPr>
  </w:style>
  <w:style w:type="paragraph" w:styleId="900">
    <w:name w:val="Balloon Text"/>
    <w:basedOn w:val="888"/>
    <w:link w:val="901"/>
    <w:uiPriority w:val="99"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link w:val="900"/>
    <w:uiPriority w:val="99"/>
    <w:rPr>
      <w:rFonts w:ascii="Segoe UI" w:hAnsi="Segoe UI" w:cs="Segoe UI"/>
      <w:sz w:val="18"/>
      <w:szCs w:val="18"/>
    </w:rPr>
  </w:style>
  <w:style w:type="character" w:styleId="902" w:customStyle="1">
    <w:name w:val="Верхний колонтитул Знак"/>
    <w:link w:val="899"/>
    <w:uiPriority w:val="99"/>
  </w:style>
  <w:style w:type="numbering" w:styleId="903" w:customStyle="1">
    <w:name w:val="Нет списка1"/>
    <w:next w:val="893"/>
    <w:uiPriority w:val="99"/>
    <w:semiHidden/>
    <w:unhideWhenUsed/>
  </w:style>
  <w:style w:type="paragraph" w:styleId="90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5">
    <w:name w:val="Hyperlink"/>
    <w:uiPriority w:val="99"/>
    <w:unhideWhenUsed/>
    <w:rPr>
      <w:color w:val="0000ff"/>
      <w:u w:val="single"/>
    </w:rPr>
  </w:style>
  <w:style w:type="character" w:styleId="906">
    <w:name w:val="FollowedHyperlink"/>
    <w:uiPriority w:val="99"/>
    <w:unhideWhenUsed/>
    <w:rPr>
      <w:color w:val="800080"/>
      <w:u w:val="single"/>
    </w:rPr>
  </w:style>
  <w:style w:type="paragraph" w:styleId="907" w:customStyle="1">
    <w:name w:val="xl65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66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67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0" w:customStyle="1">
    <w:name w:val="xl68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69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0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 w:customStyle="1">
    <w:name w:val="xl71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2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3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4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5"/>
    <w:basedOn w:val="88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6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7"/>
    <w:basedOn w:val="88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8"/>
    <w:basedOn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9"/>
    <w:basedOn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Форма"/>
    <w:rPr>
      <w:sz w:val="28"/>
      <w:szCs w:val="28"/>
    </w:rPr>
  </w:style>
  <w:style w:type="character" w:styleId="923" w:customStyle="1">
    <w:name w:val="Основной текст Знак"/>
    <w:link w:val="895"/>
    <w:rPr>
      <w:rFonts w:ascii="Courier New" w:hAnsi="Courier New"/>
      <w:sz w:val="26"/>
    </w:rPr>
  </w:style>
  <w:style w:type="paragraph" w:styleId="924" w:customStyle="1">
    <w:name w:val="ConsPlusNormal"/>
    <w:rPr>
      <w:sz w:val="28"/>
      <w:szCs w:val="28"/>
    </w:rPr>
  </w:style>
  <w:style w:type="numbering" w:styleId="925" w:customStyle="1">
    <w:name w:val="Нет списка11"/>
    <w:next w:val="893"/>
    <w:uiPriority w:val="99"/>
    <w:semiHidden/>
    <w:unhideWhenUsed/>
  </w:style>
  <w:style w:type="numbering" w:styleId="926" w:customStyle="1">
    <w:name w:val="Нет списка111"/>
    <w:next w:val="893"/>
    <w:uiPriority w:val="99"/>
    <w:semiHidden/>
    <w:unhideWhenUsed/>
  </w:style>
  <w:style w:type="paragraph" w:styleId="927" w:customStyle="1">
    <w:name w:val="font5"/>
    <w:basedOn w:val="88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8" w:customStyle="1">
    <w:name w:val="xl80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1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0" w:customStyle="1">
    <w:name w:val="xl82"/>
    <w:basedOn w:val="88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1">
    <w:name w:val="Table Grid"/>
    <w:basedOn w:val="892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2" w:customStyle="1">
    <w:name w:val="xl83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4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5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6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7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88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 w:customStyle="1">
    <w:name w:val="xl89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0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1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2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2" w:customStyle="1">
    <w:name w:val="xl93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4"/>
    <w:basedOn w:val="88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5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6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7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8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8" w:customStyle="1">
    <w:name w:val="xl99"/>
    <w:basedOn w:val="88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100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1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2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3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4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5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6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7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8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9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0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1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2"/>
    <w:basedOn w:val="88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2" w:customStyle="1">
    <w:name w:val="xl113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4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5"/>
    <w:basedOn w:val="88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5" w:customStyle="1">
    <w:name w:val="xl116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7"/>
    <w:basedOn w:val="88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8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9"/>
    <w:basedOn w:val="88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20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1"/>
    <w:basedOn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2"/>
    <w:basedOn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23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4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 w:customStyle="1">
    <w:name w:val="xl125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5" w:customStyle="1">
    <w:name w:val="Нет списка2"/>
    <w:next w:val="893"/>
    <w:uiPriority w:val="99"/>
    <w:semiHidden/>
    <w:unhideWhenUsed/>
  </w:style>
  <w:style w:type="numbering" w:styleId="976" w:customStyle="1">
    <w:name w:val="Нет списка3"/>
    <w:next w:val="893"/>
    <w:uiPriority w:val="99"/>
    <w:semiHidden/>
    <w:unhideWhenUsed/>
  </w:style>
  <w:style w:type="paragraph" w:styleId="977" w:customStyle="1">
    <w:name w:val="font6"/>
    <w:basedOn w:val="88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 w:customStyle="1">
    <w:name w:val="font7"/>
    <w:basedOn w:val="88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 w:customStyle="1">
    <w:name w:val="font8"/>
    <w:basedOn w:val="88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0" w:customStyle="1">
    <w:name w:val="Нет списка4"/>
    <w:next w:val="893"/>
    <w:uiPriority w:val="99"/>
    <w:semiHidden/>
    <w:unhideWhenUsed/>
  </w:style>
  <w:style w:type="paragraph" w:styleId="981">
    <w:name w:val="List Paragraph"/>
    <w:basedOn w:val="8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2" w:customStyle="1">
    <w:name w:val="Нижний колонтитул Знак"/>
    <w:link w:val="897"/>
    <w:uiPriority w:val="99"/>
  </w:style>
  <w:style w:type="paragraph" w:styleId="983" w:customStyle="1">
    <w:name w:val="Normal (Web)"/>
    <w:basedOn w:val="74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55977&amp;dst=3146&amp;field=134&amp;date=29.04.2026" TargetMode="External"/><Relationship Id="rId14" Type="http://schemas.openxmlformats.org/officeDocument/2006/relationships/hyperlink" Target="https://login.consultant.ru/link/?req=doc&amp;base=LAW&amp;n=360276&amp;date=29.04.2026" TargetMode="External"/><Relationship Id="rId15" Type="http://schemas.openxmlformats.org/officeDocument/2006/relationships/hyperlink" Target="https://login.consultant.ru/link/?req=doc&amp;base=RLAW368&amp;n=210758&amp;dst=100076&amp;field=134&amp;date=08.05.2026" TargetMode="External"/><Relationship Id="rId16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40</cp:revision>
  <dcterms:created xsi:type="dcterms:W3CDTF">2024-10-25T06:26:00Z</dcterms:created>
  <dcterms:modified xsi:type="dcterms:W3CDTF">2026-06-22T12:05:24Z</dcterms:modified>
</cp:coreProperties>
</file>