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-77470</wp:posOffset>
                </wp:positionV>
                <wp:extent cx="6285865" cy="1163320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-text-anchor:top;visibility:visible;" fillcolor="#FFFFFF" stroked="f">
                  <v:textbox inset="0,0,0,0">
                    <w:txbxContent>
                      <w:p>
                        <w:pPr>
                          <w:pStyle w:val="90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959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right="-28"/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-28"/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right="-28"/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назначении публичных слушаний по обсуждению проекта решения Пермской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О внесении изменений в Правила благоустройства территории города Перми,</w:t>
      </w:r>
      <w: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утвержденные решением Пермской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от 15.12.2020 № 277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федеральными законами от 06 октября 2003 г. № 131-ФЗ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дерации»,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03 февраля 2022 г. № 101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Правил использования федеральной государственной информационной системы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Единый портал государственных и муниципальных услуг (функций)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целях организации и проведения публичных слушаний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Законом Пермского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края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 июня 2026 г. № 533-ПК «О Порядке назначения </w:t>
        <w:br/>
        <w:t xml:space="preserve">и проведения публичных слушаний в муниципальных образованиях Пермского края», Уставом города Перми, Положением о публичных слушаниях в городе Перми, утвержденным решением Пермской городской Думы от 22 февраля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2005 г. № 32, Положением о порядке организации и проведения публичных сл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шаний </w:t>
        <w:br/>
        <w:t xml:space="preserve">по обсуждению проекта правил благоустройства территории города Пе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ми, утвержденным решением Пермской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городской Думы от 26 марта 2019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57,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ПОСТАНОВЛЯЮ: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Назначить публичные слушания по обсуждению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Пер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ской городской Думы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Правила благоустройства терр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тории города Перми,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утвержденные решением Пермской городской Думы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15.12.2020 № 277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Проект) согласно приложению 1 к настоящему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Инициатор публичных слушаний по обсуждению Проекта – Глава города Перми.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Способы ознакомления с Проектом – посредством официального сайта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муниципального образования город Пермь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информационно-телекоммуникационной сети Интернет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ru-RU"/>
        </w:rPr>
      </w:r>
      <w:hyperlink r:id="rId14" w:tooltip="http://www.gorodperm.ru" w:history="1">
        <w:r>
          <w:rPr>
            <w:rStyle w:val="877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  <w:lang w:val="en-US" w:eastAsia="ru-RU"/>
          </w:rPr>
          <w:t xml:space="preserve">www</w:t>
        </w:r>
        <w:r>
          <w:rPr>
            <w:rStyle w:val="877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  <w:lang w:eastAsia="ru-RU"/>
          </w:rPr>
          <w:t xml:space="preserve">.</w:t>
        </w:r>
        <w:r>
          <w:rPr>
            <w:rStyle w:val="877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  <w:lang w:val="en-US" w:eastAsia="ru-RU"/>
          </w:rPr>
          <w:t xml:space="preserve">gorodperm</w:t>
        </w:r>
        <w:r>
          <w:rPr>
            <w:rStyle w:val="877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  <w:lang w:eastAsia="ru-RU"/>
          </w:rPr>
          <w:t xml:space="preserve">.</w:t>
        </w:r>
        <w:r>
          <w:rPr>
            <w:rStyle w:val="877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  <w:lang w:val="en-US" w:eastAsia="ru-RU"/>
          </w:rPr>
          <w:t xml:space="preserve">ru</w:t>
        </w:r>
        <w:r>
          <w:rPr>
            <w:rStyle w:val="877"/>
            <w:color w:val="auto"/>
            <w:highlight w:val="none"/>
          </w:rPr>
        </w:r>
        <w:r>
          <w:rPr>
            <w:rStyle w:val="877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lang w:eastAsia="ru-RU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далее – Официальный сайт),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(далее – Единый портал), </w:t>
        <w:br/>
        <w:t xml:space="preserve">а также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экспозиции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проводимой в соответствии с пунктом 6.2 настоящего постановления.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Создать организационный комитет по организации подготовки </w:t>
        <w:br/>
        <w:t xml:space="preserve">и проведения публи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ных слушаний по обсуждению проекта решения Пермской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Правила благоустройства территории города Перми,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утвержденные решением Пермской городской Думы от 15.12.2020 № 277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Утвердить прилагаемый состав организационного комитета </w:t>
        <w:br/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организ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ции подготовки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проведения публичных слушаний по обсуждению проекта решения 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 внесении изменений в Правила благоустройства территории города Перми,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утвержденные решением Пермской городской Думы от 15.12.2020 № 277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Организационный комитет).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4. Установить срок проведения публичных слушаний – не менее 1 месяца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/>
        <w:t xml:space="preserve">и не более 3 месяцев со дня опубликования настоящего постановления до дня опубликования заключения о результатах публичных слушаний в печатном сре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стве массовой информации «Официальный бюллетень органов местного сам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Назначить проведение собрания участников публичных слушаний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обсуждению Проекта на 17 июля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18.10 час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адресу: 614000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г. Пермь,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ул. Ленина,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д. 23, зал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Организационному комитету обеспечить: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6.1. размещение Проекта и информационных материалов к нему </w:t>
        <w:br/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Официальном сайте,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Едином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03 июля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6.2. открытие и проведение экспозиции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Проекта и информационных мат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риалов к нему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(далее – экспозиция)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с 04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 июля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 г. по 20 июля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 w:themeFill="background1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недельник-четверг – с 09.00 час. до 18.00 час., пятница – с 09.00 час. до 17.00 час.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адресу: 614000,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г. Пермь, ул. Ленина,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25,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5, департамент дорог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благоустройства администрации города Перми;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консультирование посетителей экспозиции в часы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работы экспозиции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адресу, указанному в пункте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6.2 настоящего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6.4. направление от Главы города Перми в Пермскую городскую Думу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формации о проводимых публичных слушаниях с приложением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настоящего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становления, Проекта и информационных материалов к нему не позднее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июля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г.;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6.5. проведение собрания участников публичных слушаний;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6.6. своевременное оформление протокола публичных слушаний, подгото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 и опубликование заключения о результатах публичных слушаний в печатном средстве массовой информации «Официальный бюллетень органов местного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моуправления муниципального образования город Пермь», на Официальном сайте, Едином портале.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Установить, что предложения и замечания по Проекту принимаются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от участников публичных слушаний, представивших в целях идентификации св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дения в соответствии с пунктом 1.5 Положения о порядке организации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проведения публичных слушаний по обсуждению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проекта правил благоустро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ства территории города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Перми, утвержденного решением Пермской городской Думы от 26 марта 2019 г. № 57: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письменно (по форме согласно приложению 2 к настоящему постановл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нию) или устно в ходе проведения собрания участников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письменно (по форме согласно приложению 2 к настоящему постановл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нию) в Организационный комитет по адресу: 614000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г. Пермь, ул. Ленина,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д. 25,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либо в электронном виде посредством заполнения электронной формы </w:t>
        <w:br/>
        <w:t xml:space="preserve">на официальном сайте муниципального образования город Пермь </w:t>
        <w:br/>
        <w:t xml:space="preserve">в информационно-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коммуникационной сети Интернет в разделе «Гражданам/Интернет-приемная/Предложения к публичным слушаниям» (электронный адрес: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hyperlink r:id="rId15" w:tooltip="https://reception.gorodperm.ru/),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https://reception.gorodperm.ru/</w:t>
        </w:r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)</w:t>
        </w:r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период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04 июля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г. </w:t>
        <w:br/>
        <w:t xml:space="preserve">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20 июля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электронном виде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посредством Единого портала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случае, если участники публичных слушаний имеют подтвержденную учетную запись в федеральной государственной информационной системе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Единая система идентификации </w:t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<w:br/>
        <w:t xml:space="preserve">для предоставления государственных и муниципальных услуг в электронной форме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период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04 июля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г.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20 июля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посредством записи в книге (журнале) учета посетителей экспозиции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екта в период проведения экспозиции в сроки, указанные в пункте 6.2 настоящего постановления.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Обработка персональных данных участников публичных слушаний 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ществляется с учетом требований, установленных Федеральным законом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от 27 июля 2006 г. № 152-ФЗ «О персональных данных».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 представлении предложений и замечаний по Проекту участники публичных слушаний представляют согласие на обработку персональных данных по форме согласно приложению 3 к настоящему постановлению.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Назначить ответственными за подготовку и проведение публичных сл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шаний по обсуждению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Проекта заместителя главы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Галиханова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Д.К., департамент дорог и благоустройства администрации города Перми.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 Департаменту дорог и благоустройства администрации города Перми: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9.1. организовать необходимые мероприятия по подготовке и проведению публичных слушаний;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9.2. обеспечить соблюдение требований нормативных правовых актов гор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 Перми по организации и проведению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9.3. организовать проведение первого заседания Организационного комит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и в дальнейшем осуществлять организационное и материально-техническое обеспечение его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 Управлению информационных технологий администрации города Пе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 обеспечить техническую поддержку проведения публичных слушаний, назн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ченных в соответствии с настоящим постановлением.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ципального образования гор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 Пермь»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Управлению по общим вопросам администрации города Перми обесп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чить обнародование настоящего постановления посредством официального опу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Официальный бюллетень органов местного самоуправления муницип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ального образования город Пермь»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циального опубликования в сетевом издании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Официальный сайт муниципальн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образован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 город Пермь www.gorodperm.ru».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96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Галиханова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Д.К.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Э.О.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 w:right="134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 w:right="-8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Главы города Перми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25.06.2026 № 105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0"/>
        <w:spacing w:after="0" w:line="240" w:lineRule="auto"/>
        <w:tabs>
          <w:tab w:val="left" w:pos="385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0"/>
        <w:spacing w:after="0" w:line="240" w:lineRule="auto"/>
        <w:tabs>
          <w:tab w:val="left" w:pos="385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0"/>
        <w:spacing w:after="0" w:line="240" w:lineRule="auto"/>
        <w:tabs>
          <w:tab w:val="left" w:pos="385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0" w:firstLine="720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организационного комитета по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организации подготовки 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проведения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публичных слушаний по обсуждению проекта решения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exac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Пермской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«О внесении изменений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в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Правила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благоустройства территории города Перми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утвержденные решением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Пермской городской Думы от 15.12.2020 № 277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W w:w="10000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339"/>
        <w:gridCol w:w="66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39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Галиханов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Дмитрий Кадирович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Горшенкова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Антонина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Гусева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Анастасия 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Кокаровцева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Наталья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Меркушева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Евстафьевна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Радостев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Евгений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Сажин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Евгений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</w:rPr>
              <w:t xml:space="preserve">Сибирякова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Светлана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1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председатель местной общественной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организации территориального общественного </w:t>
              <w:br/>
              <w:t xml:space="preserve">самоуправления «Вышка-2» Мотовилихинского района города Перми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и.о. начальника муниципального казенного учреждения «Пермская дирекция дорожного движения»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председатель автономной некоммерческой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организации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Прикамское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общество развития творческих инициатив»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председатель местной общественной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организации территориального общественного </w:t>
              <w:br/>
              <w:t xml:space="preserve">самоуправления «Средняя Курья» Ленинского района города Перми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начальник департамента дорог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благоустройства администрации города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заместитель начальника департамента дорог и благоустройства администрации города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консультант юридического отдела департамента дорог и благоустройства 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депутат Пермской городской Думы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ind w:left="5954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954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954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954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954"/>
        <w:spacing w:after="0" w:line="240" w:lineRule="exact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25.06.2026 № 105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040" w:firstLine="72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 w:firstLine="72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-22225</wp:posOffset>
                </wp:positionV>
                <wp:extent cx="531495" cy="669925"/>
                <wp:effectExtent l="19050" t="0" r="190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54115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31495" cy="669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9264;o:allowoverlap:true;o:allowincell:true;mso-position-horizontal-relative:text;margin-left:226.35pt;mso-position-horizontal:absolute;mso-position-vertical-relative:text;margin-top:-1.75pt;mso-position-vertical:absolute;width:41.85pt;height:52.75pt;mso-wrap-distance-left:9.00pt;mso-wrap-distance-top:0.00pt;mso-wrap-distance-right:9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Пермская городская Дума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720" w:line="240" w:lineRule="auto"/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jc w:val="center"/>
        <w:spacing w:after="48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от 15.12.2020 № 277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5"/>
        <w:ind w:firstLine="720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Уставом города Перми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95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95"/>
        <w:jc w:val="center"/>
        <w:spacing w:before="0" w:after="24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pacing w:val="50"/>
          <w:sz w:val="28"/>
          <w:szCs w:val="28"/>
        </w:rPr>
        <w:t xml:space="preserve">решила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Внести в Правила благоустройства территории города Перми, утвержденные решением Пермской городской Думы от 15.12.2020 № 277 </w:t>
        <w:br/>
        <w:t xml:space="preserve">(в редакции решений Пермской городской Думы от 24.02.2021 № 40, от 27.04.2021 № 102, от 24.08.2021 № 181, от 24.08.2021 № 182,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1.12.2021 № 307, от 26.04.2022 № 81, от 26.04.2022 № 82, от 28.06.2022 № 144, от 23.08.2022 № 171, от 23.08.2022 № 173, от 23.08.2022 № 174, от 25.10.2022 № 233, от 15.11.2022 № 257, от 20.12.2022 № 271, от 20.12.2022 № 276, от 20.12.2022 № 280, от 24.01.2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23 № 10, от 27.06.2023 № 117, от 22.08.2023 № 161, от 26.09.2023 № 181, от 26.09.2023 № 182, от 26.09.2023 № 188, от 26.09.2023 № 189, от 26.09.2023 № 199, от 19.12.2023 № 277, от 27.02.2024 № 27, от 26.03.2024 № 49, от 26.03.2024 № 54, от 23.04.2024 № 70,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25.06.2024 № 108, от 25.06.2024 № 65, от 17.12.2024 № 229, от 25.03.2025 № 48, от 24.04.2025 № 80, от 24.04.2025 № 81, от 27.05.2025 № 99, от 27.05.2025 № 100, от 27.05.2025 № 101, от 23.09.2025 № 183, от 28.10.2025 № 195, от 28.10.2025 № 196, от 18.11.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 № 225, от 16.12.2025 № 246, от 28.05.2026 № 76,от 26.05.2026 № 81, от 26.05.2026 № 82, от 26.05.2026 № 83, от 26.05.2026 № 85), изменения: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 подпункт 2.1.3 дополнить словом «, сооружений»;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 дополнить подпунктом 2.1.5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следующего содержания: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«2.1.5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брошенное транспортное средство – транспортное средство, </w:t>
        <w:br/>
        <w:t xml:space="preserve">не имеющее собственника или от которого собственник в установленном порядке отказался, разукомплектованное, создающее помехи в уборке территории города Перми, проезду специального транспортно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средства и обладающее одним </w:t>
        <w:br/>
        <w:t xml:space="preserve">из следующих признаков: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использование транспортного средства в качестве места складирования мусора;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на транспортном средстве растительности;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возможность беспрепятственного доступа в салон транспортного средства;»;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 дополнить подпунктом 2.1.5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следующего содержания: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«2.1.5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разукомплектованное транспортное средство – транспортное средство, у которого отсутствует один или несколько из следующих элементов: дверь, колесо, стекло (лобовое, заднее или дверное), капот, крышка багажника, крыло, шасси, двигатель, привод, пита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ющий элемент (для электромобилей), приборная панель, водительское сидение, рулевое колесо, наружные световые приборы (два и более), а также поврежденное огнём транспортное средство;»;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1.4 дополнить подпунктом 2.1.39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следующего содержания: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«2.1.39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сети наружного освещения – комплекс технически связанного электротехнического оборудования, состоящий из системы управления наружным освещением, трансформаторных подстанций, распределительных устройств (пунктов питания), воздушных или кабельных лин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ий электропередачи, поддерживающих конструкций (опор и кронштейнов), осветительных приборов (светильников или прожекторов);»;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1.5 абзац шестой пункта 3.10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«оставлять брошенные и (или) разукомплектованные транспортные средства вне мест, предназначенных для хранения транспортных средств (гаражей, автостоянок, станций технического обслуживания),»;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1.6 дополнить пунктом 3.11 следующего содержания: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«3.11 Порядок выявления, перемещения, временного хранения и возврата брошенных и разукомплектованных транспортных средств на территории города Перми утверждается правовым актом администрации города Перми.»;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1.7 в пункте 7.2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слова «оборудование и установки наружного освещения» заменить словами «сети наружного освещения»; 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1.8 в абзаце первом пункта 8.8 цифры «14» заменить цифрами «01»;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1.9 в абзаце одиннадцатом пункта 9.1 слова «оборудование и установки наружного освещения» заменить словами «сети наружного освещения»;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1.10 абзац третий подпункта 9.4.1.1.1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«электротехническое оборудование сети наружного освещения (прожекторы или светильники, опоры, кронштейны, воздушные или кабельные линии электропередачи),»;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 абзац девятый подпункта 9.4.3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«сети наружного освещения,»;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1.12 в абзаце втором подпункта 12.4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 слова «оборудования наружного освещения» заменить словами «сетей наружного освещения»;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1.13 в подпункте 12.4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.2.7: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1.13.1 в абзаце первом слово «оборудования наружного освещения» заменить словами «сетей наружного освещения»;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1.13.2 абзац второй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«экономичность и энергоэффективность сетей наружного освещения, рациональное распределение и использование электроэнергии, удобство обслуживания и управления при разных режимах работы сети наружного освещения.»;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1.13.3 в абзаце третьем слово «оборудования наружного освещения» заменить словом «сети наружного освещения»;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1.14 подпункт 15.1.1.6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15.1.1.6 к обязательным элементам благоустройства территории детской игровой площадки относятся мягкие виды покрытия (дерновое, песчаное, уплотненное песчаное на грунтовом основании или гравийной крошке, древесная кора или стружка, мягкое резиновое или мя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кое синтетическое), зеленые насаждения, информационный стенд, а также электротехническое оборудование сети наружного освещения (прожекторы или светильники, опоры, кронштейны, воздушные или кабельные линии электропередачи), за исключением случаев освещения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детской площадки сетью наружного освещения территории;»;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1.15 абзац четвертый подпункта 15.1.1.7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«электротехническим оборудованием сети наружного освещения (прожекторы или светильники, опоры, кронштейны, воздушные или кабельные линии электропередачи),»;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1.16 в подпункте 15.1.1.8: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1.16.1 абзац первый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«15.1.1.8 детские площадки в вечернее время должны освещаться.»;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1.16.2 в абзаце втором слова «Осветительное оборудование» заменить словами «Осветительные приборы сети наружного освещения»;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1.17 в абзаце первом подпункта 15.1.2.3 слова «осветительное оборудование» заменить словами «электротехническое оборудование сети наружного освещения (прожектора или светильники, опоры, кронштейны, воздушные или кабельные линии электропередачи)»;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1.18 в абзаце втором подпункта 15.1.2.6 слова «осветительного оборудования» заменить словами «осветительные приборы сети наружного освещения»;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1.19 в подпункте 15.1.3.2.3 слова «осветительное оборудование» заменить словами «электротехническое оборудование сети наружного освещения (прожекторы или светильники, опоры, кронштейны, воздушные или кабельные линии электропередачи)»;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1.20 в подпункте 15.1.3.2.9 слова «осветительное оборудование» заменить словами «электротехническое оборудование сети наружного освещения (прожекторы или светильники, опоры, кронштейны, воздушные или кабельные линии электропередачи)»;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1.21 в абзаце третьем пункта 15.1.4 слова «, расположенных </w:t>
        <w:br/>
        <w:t xml:space="preserve">на автомобильных дорогах общего пользования,» исключить;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1.22 в подпункте 17.1.1 слова «установок освещения» заменить словами «сетей наружного освещения»;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1.23 подпункт 17.1.2 признать утратившим силу;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1.24 пункт 17.2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«17.2. Освещение территории осуществляется с помощью сетей наружного освещения, включая архитектурную подсветку и праздничную иллюминацию.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График и режим работы сетей наружного освещения, включая архитектурную подсветку и праздничную иллюминацию на территории города Перми, устанавливается правовым актом администрации города Перми.»;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1.25 пункт 17.3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«17.3. Содержание сетей наружного освещения обеспечивается: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общего пользования – администрацией города Перми, владельцами сетей наружного освещения;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земельных участках, принадлежащих на праве собственности, ином вещном либо обязательственном праве юридическим или физическим лицам – указанными юридическими или физическими лицами, если иное не предусмотрено законом или договором.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и содержание архитектурной подсветки на фасадах капитальных объектов, сооружений осуществляется собственниками или иными законными владельцами капитальных объектов, сооружений, если иное не предусмотрено законом или договором.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архитектурной подсветки на многоквартирных домах обеспечивается лицами, осуществляющими деятельность по управлению многоквартирными домами.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случаях, предусмотренных правовыми актами города Перми, размещение и содержание архитектурной подсветки осуществляется за счет средств бюджета города Перми функциональным органом администрации города Перми, осуществляющим функции в сфере благоустройства.
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орядок взаимодействия между функциональными, территориальными органами администрации города Перми, владельцами сетей наружного освещения, расположенных на территории общего пользования, а также основные требования к выполняемым работам по организации освещ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ения территории общего пользования города Перми утверждаются администрацией города Перми.»;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1.26 пункт 17.4 дополнить словом «, сооружений»;</w:t>
      </w:r>
      <w:r/>
    </w:p>
    <w:p>
      <w:pPr>
        <w:ind w:firstLine="720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бзац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пятый-седьмой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подпункта 17.4.1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изнать утратившими силу;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1.28 в пункте 17.5: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1.28.1 в абзаце первом после слов «территории» дополнить словами «города Перми»;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1.28.2 абзац второй изложить в редакции: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«На территории общего пользования допускается размещение световых гирлянд, светографических элементов или объемных светодиодных композиций, в том числе на поддерживающих конструкциях сети наружного освещения.»;</w:t>
      </w:r>
      <w:r/>
    </w:p>
    <w:p>
      <w:pPr>
        <w:ind w:firstLine="720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1.28.3 в абзаце третьем слово «светодиодных» заменить словом «световых»; 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1.29 в Перечне основных и дополнительных объектов и элементов благоустройства организованных мест отдыха у воды, а также требований к их обустройству, размещению и внешнему виду (приложение 15): 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1.29.1 абзац второй пункта 1.1 после слов «арт-объекты» дополнить словом «, лестница»;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1.29.2 дополнить пунктом 1.8 следующего содержания: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«1.8. Если рельеф организованного места отдыха у воды имеет перепад </w:t>
        <w:br/>
        <w:t xml:space="preserve">с водоёмом у организованного места отдыха у воды, в целях обеспечения безопасного спуска к воде, устанавливается лестница.».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решение вступает в силу с 01.03.2027.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ципального образования город Пермь www.gorodperm.ru».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/>
    </w:p>
    <w:p>
      <w:pPr>
        <w:ind w:firstLine="720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</w:t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Пермской городской Думы                                                                      Д.В. Малютин</w:t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                                                                                     Э.О. Соснин</w:t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25.06.2026 № 105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tabs>
          <w:tab w:val="left" w:pos="3855" w:leader="none"/>
          <w:tab w:val="left" w:pos="591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ФОРМА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предложений и замечаний по проекту решения Пермской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Правила благоустройства территории города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Перми, утвержденные решением Пермской городской Думы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15.12.2020 № 277»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ПРЕДЛОЖЕНИЯ И ЗАМЕЧАНИЯ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по проекту решения Пермской городской Думы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 внесении изменений в Правила благоустройства территории города Перми, утвержденные решением Пермской горо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дской Думы от 15.12.2020 № 277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tbl>
      <w:tblPr>
        <w:tblW w:w="49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6"/>
        <w:gridCol w:w="2742"/>
        <w:gridCol w:w="2696"/>
        <w:gridCol w:w="2269"/>
        <w:gridCol w:w="18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Пункт, подпункт, абзац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Редакция проекта решения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Предлагаемая редакция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Обоснование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855" w:leader="none"/>
              </w:tabs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Фамилия, имя, отчество физического лица или наименование организации: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bottom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 рождения физического лица или дата создания организации: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bottom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bottom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места жительства физического лица или места нахождения организ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ции, ОГРН: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bottom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keepNext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Приложение*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1. 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2. 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(дата, Ф.И.О., подпись)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-------------------------------------------------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sectPr>
          <w:headerReference w:type="default" r:id="rId10"/>
          <w:headerReference w:type="even" r:id="rId11"/>
          <w:footerReference w:type="default" r:id="rId12"/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Указываются и прикладываются документы (копии), подтверждающие сведения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в соответствии с пунктом 1.5</w:t>
      </w:r>
      <w:r>
        <w:rPr>
          <w:rFonts w:ascii="Times New Roman" w:hAnsi="Times New Roman" w:eastAsia="Times New Roman" w:cs="Times New Roman"/>
          <w:sz w:val="1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Положения о порядке организации и проведения публичных сл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шаний по обсуждению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проекта правил благоустройства территории города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Перми, утвержде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ного решением П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ермской городской Думы от 26 марта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2019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№ 57.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669" w:firstLine="0"/>
        <w:jc w:val="both"/>
        <w:spacing w:before="0" w:beforeAutospacing="0" w:after="0" w:line="238" w:lineRule="exact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firstLine="0"/>
        <w:jc w:val="left"/>
        <w:spacing w:before="0" w:beforeAutospacing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 постановлению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Главы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 w:firstLine="0"/>
        <w:jc w:val="left"/>
        <w:spacing w:before="0" w:beforeAutospacing="0" w:after="0" w:line="238" w:lineRule="exact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firstLine="0"/>
        <w:jc w:val="both"/>
        <w:spacing w:before="0" w:beforeAutospacing="0" w:after="0" w:line="238" w:lineRule="exact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25.06.2026 № 105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СОГЛАСИЕ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на обработку персональных данных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Я, 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(фамилия, имя, отчество (при наличии) субъекта персональных данных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center"/>
        <w:spacing w:after="0" w:line="240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или представителя этого субъекта полностью)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проживающий(ая) по адресу: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(адрес регистрации)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документ, удостоверяющий личность: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0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номер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____________________, дата выдачи ________________________________,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кем выдан: 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действующий на основании*: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(реквизиты доверенности или иного документа, подтверждающего полномочия представителя субъекта)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своей волей и в своем интересе/в интересе представляемого лица*: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6035" w:leader="none"/>
        </w:tabs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(фамилия, имя, отчество (при наличии) представляемого лица – субъекта персональных данных),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(реквизиты основного документа, удостоверяющего личность представляемого лица,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сведения о дате выдачи указанного документа и выдавшем его органе)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ражаю согласие на обработку моих/представляемого лица персональных данных департаменту дорог и благоустройства администрации города Перми, организационному комитету по организации проведения публичных слушаний </w:t>
        <w:br/>
        <w:t xml:space="preserve">по обсуждению проекта решения Пермской городс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ой Думы «О внесении изменений в Правила благоустройства территории города Перми, утвержденные решением Пермской городской Думы от 15.12.2020 № 277» (далее – организатор публичных слушаний), расположенным по адресу: 614000, г. Пермь, ул. Ленина, 25, с целью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участия в публичных слушаниях по обсуждению проекта решения Пермской городской Думы «О внесении изменений в Правила благоустройства территории города Перми, утвержденные решением Пермской городской Думы </w:t>
        <w:br/>
        <w:t xml:space="preserve">от 15.12.2020 № 277» следующих персональных данных: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фамилия, имя, отчество;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число, месяц, год рождения;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номер и серия документа, удостоверяющего личность, сведения о дате его выдачи и выдавшем органе;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адрес места жительства (проживания);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адрес электронной почты для корреспонденции (в случае предоставления такого адреса);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иные сведения, сообщаемые в составе представленных предложений </w:t>
        <w:br/>
        <w:t xml:space="preserve">и замечаний.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предоставленными персональными данными планируется совершать следующие действия: сбор, запись, систематизация, накопление, хранение, уточнение (обновление, изменение), извлечение, использование, доступ, обезличивание, блокирование, удаление, уничтожение.
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Планируется следующий способ обработки представленных персональных данных: неавтоматизированная.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Настоящее согласие действует со дня его подписания и в течение срока хранения протокола публичных слушаний, установленного для хранения официальных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Мне разъяснено, что настоящее согласие может быть отозвано путем подачи письменного заявления в адрес департамента дорог и благоустройства администрации города Перми, организатора публичных слушаний.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 разъяснены юридические последствия отказа представить свои персональные данные и (или) дать согласие на их обработку, которые заключаются в том, что при отказе представить персональные данные и (или) дать согласие </w:t>
        <w:br/>
        <w:t xml:space="preserve">на их обработку внесенные предложения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амечания по проекту решения Пермской городской Думы «О внесении изменений в Правила благоустройства территории города Перми, утвержденные решением Пермской городской Думы </w:t>
        <w:br/>
        <w:t xml:space="preserve">от 15.12.2020 № 277» рассмотрению не подлежат (не учитываются в протоколе публичных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слушаний и в заключении о результатах публичных слушаний).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«___»_________20__г. 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(подпись, фамилия, имя, отчество прописью полностью)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sz w:val="22"/>
          <w:szCs w:val="22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--------------------------------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* Заполняется только при получении согласия от представителя субъекта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8"/>
    <w:link w:val="89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3">
    <w:name w:val="Heading 2 Char"/>
    <w:basedOn w:val="898"/>
    <w:link w:val="897"/>
    <w:uiPriority w:val="9"/>
    <w:rPr>
      <w:rFonts w:ascii="Liberation Sans" w:hAnsi="Liberation Sans" w:eastAsia="Liberation Sans" w:cs="Liberation Sans"/>
      <w:sz w:val="34"/>
    </w:rPr>
  </w:style>
  <w:style w:type="paragraph" w:styleId="724">
    <w:name w:val="Heading 3"/>
    <w:basedOn w:val="895"/>
    <w:next w:val="895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5">
    <w:name w:val="Heading 3 Char"/>
    <w:basedOn w:val="898"/>
    <w:link w:val="72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6">
    <w:name w:val="Heading 4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7">
    <w:name w:val="Heading 4 Char"/>
    <w:basedOn w:val="898"/>
    <w:link w:val="72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8">
    <w:name w:val="Heading 5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9">
    <w:name w:val="Heading 5 Char"/>
    <w:basedOn w:val="898"/>
    <w:link w:val="72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0">
    <w:name w:val="Heading 6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1">
    <w:name w:val="Heading 6 Char"/>
    <w:basedOn w:val="898"/>
    <w:link w:val="7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2">
    <w:name w:val="Heading 7"/>
    <w:basedOn w:val="895"/>
    <w:next w:val="895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3">
    <w:name w:val="Heading 7 Char"/>
    <w:basedOn w:val="898"/>
    <w:link w:val="73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4">
    <w:name w:val="Heading 8"/>
    <w:basedOn w:val="895"/>
    <w:next w:val="89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5">
    <w:name w:val="Heading 8 Char"/>
    <w:basedOn w:val="898"/>
    <w:link w:val="73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6">
    <w:name w:val="Heading 9"/>
    <w:basedOn w:val="895"/>
    <w:next w:val="895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7">
    <w:name w:val="Heading 9 Char"/>
    <w:basedOn w:val="898"/>
    <w:link w:val="73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8">
    <w:name w:val="List Paragraph"/>
    <w:basedOn w:val="895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5"/>
    <w:next w:val="895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8"/>
    <w:link w:val="740"/>
    <w:uiPriority w:val="10"/>
    <w:rPr>
      <w:sz w:val="48"/>
      <w:szCs w:val="48"/>
    </w:rPr>
  </w:style>
  <w:style w:type="paragraph" w:styleId="742">
    <w:name w:val="Subtitle"/>
    <w:basedOn w:val="895"/>
    <w:next w:val="895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8"/>
    <w:link w:val="742"/>
    <w:uiPriority w:val="11"/>
    <w:rPr>
      <w:sz w:val="24"/>
      <w:szCs w:val="24"/>
    </w:rPr>
  </w:style>
  <w:style w:type="paragraph" w:styleId="744">
    <w:name w:val="Quote"/>
    <w:basedOn w:val="895"/>
    <w:next w:val="895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5"/>
    <w:next w:val="895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8"/>
    <w:link w:val="906"/>
    <w:uiPriority w:val="99"/>
  </w:style>
  <w:style w:type="character" w:styleId="749">
    <w:name w:val="Footer Char"/>
    <w:basedOn w:val="898"/>
    <w:link w:val="904"/>
    <w:uiPriority w:val="99"/>
  </w:style>
  <w:style w:type="character" w:styleId="750">
    <w:name w:val="Caption Char"/>
    <w:basedOn w:val="898"/>
    <w:link w:val="901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basedOn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4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5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9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0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51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6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8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8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</w:style>
  <w:style w:type="paragraph" w:styleId="896">
    <w:name w:val="Heading 1"/>
    <w:basedOn w:val="895"/>
    <w:next w:val="895"/>
    <w:qFormat/>
    <w:pPr>
      <w:ind w:right="-1" w:firstLine="709"/>
      <w:jc w:val="both"/>
      <w:keepNext/>
      <w:outlineLvl w:val="0"/>
    </w:pPr>
    <w:rPr>
      <w:sz w:val="24"/>
    </w:rPr>
  </w:style>
  <w:style w:type="paragraph" w:styleId="897">
    <w:name w:val="Heading 2"/>
    <w:basedOn w:val="895"/>
    <w:next w:val="895"/>
    <w:qFormat/>
    <w:pPr>
      <w:ind w:right="-1"/>
      <w:jc w:val="both"/>
      <w:keepNext/>
      <w:outlineLvl w:val="1"/>
    </w:pPr>
    <w:rPr>
      <w:sz w:val="24"/>
    </w:rPr>
  </w:style>
  <w:style w:type="character" w:styleId="898" w:default="1">
    <w:name w:val="Default Paragraph Font"/>
    <w:semiHidden/>
  </w:style>
  <w:style w:type="table" w:styleId="89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semiHidden/>
  </w:style>
  <w:style w:type="paragraph" w:styleId="901">
    <w:name w:val="Caption"/>
    <w:basedOn w:val="895"/>
    <w:next w:val="895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2">
    <w:name w:val="Body Text"/>
    <w:basedOn w:val="895"/>
    <w:pPr>
      <w:ind w:right="3117"/>
    </w:pPr>
    <w:rPr>
      <w:rFonts w:ascii="Courier New" w:hAnsi="Courier New"/>
      <w:sz w:val="26"/>
    </w:rPr>
  </w:style>
  <w:style w:type="paragraph" w:styleId="903">
    <w:name w:val="Body Text Indent"/>
    <w:basedOn w:val="895"/>
    <w:pPr>
      <w:ind w:right="-1"/>
      <w:jc w:val="both"/>
    </w:pPr>
    <w:rPr>
      <w:sz w:val="26"/>
    </w:rPr>
  </w:style>
  <w:style w:type="paragraph" w:styleId="904">
    <w:name w:val="Footer"/>
    <w:basedOn w:val="895"/>
    <w:pPr>
      <w:tabs>
        <w:tab w:val="center" w:pos="4153" w:leader="none"/>
        <w:tab w:val="right" w:pos="8306" w:leader="none"/>
      </w:tabs>
    </w:pPr>
  </w:style>
  <w:style w:type="character" w:styleId="905">
    <w:name w:val="page number"/>
    <w:basedOn w:val="898"/>
  </w:style>
  <w:style w:type="paragraph" w:styleId="906">
    <w:name w:val="Header"/>
    <w:basedOn w:val="895"/>
    <w:pPr>
      <w:tabs>
        <w:tab w:val="center" w:pos="4153" w:leader="none"/>
        <w:tab w:val="right" w:pos="8306" w:leader="none"/>
      </w:tabs>
    </w:pPr>
  </w:style>
  <w:style w:type="paragraph" w:styleId="907">
    <w:name w:val="Balloon Text"/>
    <w:basedOn w:val="895"/>
    <w:link w:val="908"/>
    <w:rPr>
      <w:rFonts w:ascii="Segoe UI" w:hAnsi="Segoe UI" w:cs="Segoe UI"/>
      <w:sz w:val="18"/>
      <w:szCs w:val="18"/>
    </w:rPr>
  </w:style>
  <w:style w:type="character" w:styleId="908" w:customStyle="1">
    <w:name w:val="Текст выноски Знак"/>
    <w:link w:val="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Relationship Id="rId15" Type="http://schemas.openxmlformats.org/officeDocument/2006/relationships/hyperlink" Target="https://reception.gorodperm.ru/)," TargetMode="External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35</cp:revision>
  <dcterms:created xsi:type="dcterms:W3CDTF">2024-10-25T06:16:00Z</dcterms:created>
  <dcterms:modified xsi:type="dcterms:W3CDTF">2026-06-25T11:04:20Z</dcterms:modified>
</cp:coreProperties>
</file>