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-541020</wp:posOffset>
                </wp:positionV>
                <wp:extent cx="6285865" cy="1540158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540157"/>
                          <a:chOff x="0" y="0"/>
                          <a:chExt cx="6285864" cy="154015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243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15534" y="1243362"/>
                            <a:ext cx="1085850" cy="296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margin;margin-left:1.70pt;mso-position-horizontal:absolute;mso-position-vertical-relative:text;margin-top:-42.60pt;mso-position-vertical:absolute;width:494.95pt;height:121.27pt;mso-wrap-distance-left:9.00pt;mso-wrap-distance-top:0.00pt;mso-wrap-distance-right:9.00pt;mso-wrap-distance-bottom:0.00pt;" coordorigin="0,0" coordsize="62858,15401">
                <v:shape id="shape 2" o:spid="_x0000_s2" o:spt="202" type="#_x0000_t202" style="position:absolute;left:0;top:0;width:62858;height:12433;v-text-anchor:top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49155;top:12433;width:10858;height:2967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64546</wp:posOffset>
                </wp:positionH>
                <wp:positionV relativeFrom="paragraph">
                  <wp:posOffset>5715</wp:posOffset>
                </wp:positionV>
                <wp:extent cx="1085850" cy="296817"/>
                <wp:effectExtent l="0" t="0" r="0" b="0"/>
                <wp:wrapNone/>
                <wp:docPr id="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6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60288;o:allowoverlap:true;o:allowincell:true;mso-position-horizontal-relative:text;margin-left:5.08pt;mso-position-horizontal:absolute;mso-position-vertical-relative:text;margin-top:0.45pt;mso-position-vertical:absolute;width:85.50pt;height:23.37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jc w:val="center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  <w:t xml:space="preserve">в</w:t>
      </w:r>
      <w:r>
        <w:rPr>
          <w:b/>
        </w:rPr>
        <w:t xml:space="preserve"> постановление</w:t>
      </w:r>
      <w:r>
        <w:rPr>
          <w:b/>
        </w:rPr>
        <w:t xml:space="preserve"> </w:t>
      </w:r>
      <w:r>
        <w:rPr>
          <w:b/>
        </w:rPr>
        <w:t xml:space="preserve">администрации </w:t>
        <w:br/>
        <w:t xml:space="preserve">города Перми </w:t>
      </w:r>
      <w:r>
        <w:rPr>
          <w:b/>
        </w:rPr>
        <w:t xml:space="preserve">от 11.08.2021 № 590 «О создании </w:t>
      </w:r>
      <w:r>
        <w:rPr>
          <w:b/>
        </w:rPr>
        <w:t xml:space="preserve">муниципальной </w:t>
      </w:r>
      <w:r>
        <w:rPr>
          <w:b/>
        </w:rPr>
        <w:t xml:space="preserve">рабочей </w:t>
        <w:br/>
        <w:t xml:space="preserve">группы </w:t>
      </w:r>
      <w:r>
        <w:rPr>
          <w:b/>
        </w:rPr>
        <w:t xml:space="preserve">по проверке обоснованности закупок </w:t>
      </w:r>
      <w:r>
        <w:rPr>
          <w:b/>
        </w:rPr>
        <w:t xml:space="preserve">для нужд муниципального </w:t>
        <w:br/>
        <w:t xml:space="preserve">образования </w:t>
      </w:r>
      <w:r>
        <w:rPr>
          <w:b/>
        </w:rPr>
        <w:t xml:space="preserve">город Пермь»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240" w:lineRule="auto"/>
        <w:widowControl w:val="off"/>
      </w:pP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  <w:t xml:space="preserve">В целях актуализации правовых актов администрации города Перми</w:t>
      </w:r>
      <w:r>
        <w:rPr>
          <w:rFonts w:eastAsia="Calibri"/>
          <w:sz w:val="28"/>
          <w:szCs w:val="28"/>
          <w:lang w:eastAsia="en-US"/>
        </w:rPr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1.</w:t>
      </w:r>
      <w:r>
        <w:rPr>
          <w:rFonts w:eastAsia="Calibri"/>
          <w:sz w:val="28"/>
          <w:szCs w:val="28"/>
        </w:rPr>
        <w:t xml:space="preserve"> Внести в </w:t>
      </w:r>
      <w:r>
        <w:rPr>
          <w:rFonts w:eastAsia="Calibri"/>
          <w:sz w:val="28"/>
          <w:szCs w:val="28"/>
        </w:rPr>
        <w:t xml:space="preserve">постановление администрации </w:t>
      </w:r>
      <w:r>
        <w:rPr>
          <w:rFonts w:eastAsia="Calibri"/>
          <w:sz w:val="28"/>
          <w:szCs w:val="28"/>
        </w:rPr>
        <w:t xml:space="preserve">города Перми </w:t>
        <w:br/>
        <w:t xml:space="preserve">от 11.08.2021 № 590 </w:t>
      </w:r>
      <w:r>
        <w:rPr>
          <w:rFonts w:eastAsia="Calibri"/>
          <w:sz w:val="28"/>
          <w:szCs w:val="28"/>
        </w:rPr>
        <w:t xml:space="preserve">«О создании муниципальной рабочей группы по проверке обоснованности закупок для нужд муниципального образования город Пермь»</w:t>
      </w:r>
      <w:r>
        <w:rPr>
          <w:rFonts w:eastAsia="Calibri"/>
          <w:sz w:val="28"/>
          <w:szCs w:val="28"/>
        </w:rPr>
        <w:t xml:space="preserve"> </w:t>
        <w:br/>
        <w:t xml:space="preserve">(</w:t>
      </w:r>
      <w:r>
        <w:rPr>
          <w:rFonts w:eastAsia="Calibri"/>
          <w:sz w:val="28"/>
          <w:szCs w:val="28"/>
        </w:rPr>
        <w:t xml:space="preserve">в ред. от 03.06.2022 № 442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от 09.02.2023 № 8</w:t>
      </w:r>
      <w:r>
        <w:rPr>
          <w:rFonts w:eastAsia="Calibri"/>
          <w:sz w:val="28"/>
          <w:szCs w:val="28"/>
        </w:rPr>
        <w:t xml:space="preserve">7,</w:t>
      </w:r>
      <w:r>
        <w:t xml:space="preserve"> </w:t>
      </w:r>
      <w:r>
        <w:rPr>
          <w:rFonts w:eastAsia="Calibri"/>
          <w:sz w:val="28"/>
          <w:szCs w:val="28"/>
        </w:rPr>
        <w:t xml:space="preserve">от 04.07.2023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571, от 18.10.2023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1109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от 29.11.2023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1341</w:t>
      </w:r>
      <w:r>
        <w:rPr>
          <w:rFonts w:eastAsia="Calibri"/>
          <w:sz w:val="28"/>
          <w:szCs w:val="28"/>
        </w:rPr>
        <w:t xml:space="preserve">, от 10.04.2024 № 267, от 26.04.2024 № 331, </w:t>
        <w:br/>
      </w:r>
      <w:r>
        <w:rPr>
          <w:rFonts w:eastAsia="Calibri"/>
          <w:sz w:val="28"/>
          <w:szCs w:val="28"/>
        </w:rPr>
        <w:t xml:space="preserve">от 03.02.2025 № 35, от 14.05.2025 № 325, от 16.07.2025 № 469, от 03.02.2026 № 45, от 15.04.2026 № 220</w:t>
      </w:r>
      <w:r>
        <w:rPr>
          <w:rFonts w:eastAsia="Calibri"/>
          <w:sz w:val="28"/>
          <w:szCs w:val="28"/>
        </w:rPr>
        <w:t xml:space="preserve">, от 19.06.2026 № 374</w:t>
      </w:r>
      <w:r>
        <w:rPr>
          <w:rFonts w:eastAsia="Calibri"/>
          <w:sz w:val="28"/>
          <w:szCs w:val="28"/>
        </w:rPr>
        <w:t xml:space="preserve">),</w:t>
      </w:r>
      <w:r>
        <w:rPr>
          <w:rFonts w:eastAsia="Calibri"/>
          <w:sz w:val="28"/>
          <w:szCs w:val="28"/>
        </w:rPr>
        <w:t xml:space="preserve"> следующие изменения</w:t>
      </w:r>
      <w:r>
        <w:rPr>
          <w:rFonts w:eastAsia="Calibri"/>
          <w:sz w:val="28"/>
          <w:szCs w:val="28"/>
        </w:rPr>
        <w:t xml:space="preserve">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1.1. в приложении 3: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1.1.1. </w:t>
      </w:r>
      <w:r>
        <w:rPr>
          <w:rFonts w:eastAsia="Calibri"/>
          <w:sz w:val="28"/>
          <w:szCs w:val="28"/>
          <w:highlight w:val="none"/>
        </w:rPr>
        <w:t xml:space="preserve">наименование изложить в следующей редакции: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«</w:t>
      </w:r>
      <w:r>
        <w:rPr>
          <w:rFonts w:eastAsia="Calibri"/>
          <w:sz w:val="28"/>
          <w:szCs w:val="28"/>
        </w:rPr>
        <w:t xml:space="preserve">П</w:t>
      </w:r>
      <w:r>
        <w:rPr>
          <w:rFonts w:eastAsia="Calibri"/>
          <w:sz w:val="28"/>
          <w:szCs w:val="28"/>
        </w:rPr>
        <w:t xml:space="preserve">орядок </w:t>
      </w:r>
      <w:r>
        <w:rPr>
          <w:rFonts w:eastAsia="Calibri"/>
          <w:sz w:val="28"/>
          <w:szCs w:val="28"/>
        </w:rPr>
        <w:t xml:space="preserve">изменения существенных условий контрактов (договоров), заключенных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до 01 января 2027 года для обеспечения нужд муниципального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образования город Пермь, по соглашению сторон, если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при исполнении таких контрактов (договоров) возникли не зависящие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сторон контракта (договора) обстоятельства, влекущие невозможность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их исполнения, в том числе в связи с мобилизацией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Российской Федерации</w:t>
      </w:r>
      <w:r>
        <w:rPr>
          <w:rFonts w:eastAsia="Calibri"/>
          <w:sz w:val="28"/>
          <w:szCs w:val="28"/>
        </w:rPr>
        <w:t xml:space="preserve">»;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1.1.2. </w:t>
      </w:r>
      <w:r>
        <w:rPr>
          <w:rFonts w:eastAsia="Calibri"/>
          <w:sz w:val="28"/>
          <w:szCs w:val="28"/>
          <w:highlight w:val="none"/>
        </w:rPr>
        <w:t xml:space="preserve">пункт 1 изложить в следующей редакции: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  <w:t xml:space="preserve">«1. </w:t>
      </w:r>
      <w:r>
        <w:rPr>
          <w:rFonts w:eastAsia="Calibri"/>
          <w:sz w:val="28"/>
          <w:szCs w:val="28"/>
          <w:highlight w:val="none"/>
        </w:rPr>
        <w:t xml:space="preserve">Н</w:t>
      </w:r>
      <w:r>
        <w:rPr>
          <w:rFonts w:eastAsia="Calibri"/>
          <w:sz w:val="28"/>
          <w:szCs w:val="28"/>
          <w:highlight w:val="none"/>
        </w:rPr>
        <w:t xml:space="preserve">астоящий Порядок разработан в соответствии с частью 65.1 статьи 112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eastAsia="Calibri"/>
          <w:sz w:val="28"/>
          <w:szCs w:val="28"/>
          <w:highlight w:val="none"/>
        </w:rPr>
        <w:t xml:space="preserve"> Закон № 44-ФЗ), статьей 2 Федерального закона </w:t>
      </w:r>
      <w:r>
        <w:rPr>
          <w:rFonts w:eastAsia="Calibri"/>
          <w:sz w:val="28"/>
          <w:szCs w:val="28"/>
          <w:highlight w:val="none"/>
        </w:rPr>
        <w:t xml:space="preserve">от 18.07.2011 </w:t>
        <w:br/>
        <w:t xml:space="preserve">№ 223-ФЗ</w:t>
      </w:r>
      <w:r>
        <w:rPr>
          <w:rFonts w:eastAsia="Calibri"/>
          <w:sz w:val="28"/>
          <w:szCs w:val="28"/>
          <w:highlight w:val="none"/>
        </w:rPr>
        <w:t xml:space="preserve"> «</w:t>
      </w:r>
      <w:r>
        <w:rPr>
          <w:rFonts w:eastAsia="Calibri"/>
          <w:sz w:val="28"/>
          <w:szCs w:val="28"/>
          <w:highlight w:val="none"/>
        </w:rPr>
        <w:t xml:space="preserve">О закупках товаров, работ, услуг отдельными видами юридических лиц»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в</w:t>
      </w:r>
      <w:r>
        <w:rPr>
          <w:rFonts w:eastAsia="Calibri"/>
          <w:sz w:val="28"/>
          <w:szCs w:val="28"/>
          <w:highlight w:val="none"/>
        </w:rPr>
        <w:t xml:space="preserve"> целях устан</w:t>
      </w:r>
      <w:r>
        <w:rPr>
          <w:rFonts w:eastAsia="Calibri"/>
          <w:sz w:val="28"/>
          <w:szCs w:val="28"/>
          <w:highlight w:val="none"/>
        </w:rPr>
        <w:t xml:space="preserve">овления и применения на территории муниципального образования город Пермь единых правил изменения существенных условий контрактов (договоров) (далее - контракты), заключенных до 01 января 2027 года для обеспечения нужд муниципального образования на основании решения администр</w:t>
      </w:r>
      <w:r>
        <w:rPr>
          <w:rFonts w:eastAsia="Calibri"/>
          <w:sz w:val="28"/>
          <w:szCs w:val="28"/>
          <w:highlight w:val="none"/>
        </w:rPr>
        <w:t xml:space="preserve">ации города Перми</w:t>
      </w:r>
      <w:r>
        <w:rPr>
          <w:rFonts w:eastAsia="Calibri"/>
          <w:sz w:val="28"/>
          <w:szCs w:val="28"/>
          <w:highlight w:val="none"/>
        </w:rPr>
        <w:t xml:space="preserve">.</w:t>
      </w:r>
      <w:r>
        <w:rPr>
          <w:rFonts w:eastAsia="Calibri"/>
          <w:sz w:val="28"/>
          <w:szCs w:val="28"/>
          <w:highlight w:val="none"/>
        </w:rPr>
        <w:t xml:space="preserve">».</w:t>
      </w:r>
      <w:r/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 xml:space="preserve">Внести </w:t>
      </w:r>
      <w:r>
        <w:rPr>
          <w:rFonts w:eastAsia="Calibri"/>
          <w:sz w:val="28"/>
          <w:szCs w:val="28"/>
        </w:rPr>
        <w:t xml:space="preserve">в регламент </w:t>
      </w:r>
      <w:r>
        <w:rPr>
          <w:rFonts w:eastAsia="Calibri"/>
          <w:sz w:val="28"/>
          <w:szCs w:val="28"/>
        </w:rPr>
        <w:t xml:space="preserve">деятельности </w:t>
      </w:r>
      <w:r>
        <w:rPr>
          <w:rFonts w:eastAsia="Calibri"/>
          <w:sz w:val="28"/>
          <w:szCs w:val="28"/>
        </w:rPr>
        <w:t xml:space="preserve">муниципальной рабочей </w:t>
      </w:r>
      <w:r>
        <w:rPr>
          <w:rFonts w:eastAsia="Calibri"/>
          <w:sz w:val="28"/>
          <w:szCs w:val="28"/>
        </w:rPr>
        <w:t xml:space="preserve">группы </w:t>
        <w:br/>
        <w:t xml:space="preserve">по проверке обоснованности </w:t>
      </w:r>
      <w:r>
        <w:rPr>
          <w:rFonts w:eastAsia="Calibri"/>
          <w:sz w:val="28"/>
          <w:szCs w:val="28"/>
        </w:rPr>
        <w:t xml:space="preserve">закупок для нужд муниципального </w:t>
      </w:r>
      <w:r>
        <w:rPr>
          <w:rFonts w:eastAsia="Calibri"/>
          <w:sz w:val="28"/>
          <w:szCs w:val="28"/>
        </w:rPr>
        <w:t xml:space="preserve">образования город Пермь, утвержденный </w:t>
      </w:r>
      <w:r>
        <w:rPr>
          <w:rFonts w:eastAsia="Calibri"/>
          <w:sz w:val="28"/>
          <w:szCs w:val="28"/>
        </w:rPr>
        <w:t xml:space="preserve">постановлением администрации </w:t>
      </w:r>
      <w:r>
        <w:rPr>
          <w:rFonts w:eastAsia="Calibri"/>
          <w:sz w:val="28"/>
          <w:szCs w:val="28"/>
        </w:rPr>
        <w:t xml:space="preserve">города Перми от 11.08.2021 № 590 </w:t>
      </w:r>
      <w:r>
        <w:rPr>
          <w:rFonts w:eastAsia="Calibri"/>
          <w:sz w:val="28"/>
          <w:szCs w:val="28"/>
        </w:rPr>
        <w:t xml:space="preserve">«О создании муниципальной рабочей группы по проверке обоснованности закупок для нужд муниципального образования город Пермь»</w:t>
      </w:r>
      <w:r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 xml:space="preserve">в ред. от 03.06.2022 № 442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от 09.02.2023 № 8</w:t>
      </w:r>
      <w:r>
        <w:rPr>
          <w:rFonts w:eastAsia="Calibri"/>
          <w:sz w:val="28"/>
          <w:szCs w:val="28"/>
        </w:rPr>
        <w:t xml:space="preserve">7,</w:t>
      </w:r>
      <w:r>
        <w:t xml:space="preserve"> </w:t>
      </w:r>
      <w:r>
        <w:rPr>
          <w:rFonts w:eastAsia="Calibri"/>
          <w:sz w:val="28"/>
          <w:szCs w:val="28"/>
        </w:rPr>
        <w:t xml:space="preserve">от 04.07.2023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571, от 18.10.2023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1109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от 29.11.2023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1341</w:t>
      </w:r>
      <w:r>
        <w:rPr>
          <w:rFonts w:eastAsia="Calibri"/>
          <w:sz w:val="28"/>
          <w:szCs w:val="28"/>
        </w:rPr>
        <w:t xml:space="preserve">, от 10.04.2024 № 267, от 26.04.2024 № 331, </w:t>
      </w:r>
      <w:r>
        <w:rPr>
          <w:rFonts w:eastAsia="Calibri"/>
          <w:sz w:val="28"/>
          <w:szCs w:val="28"/>
        </w:rPr>
        <w:t xml:space="preserve">от 03.02.2025 № 35, от 14.05.2025 № 325, от 16.07.2025 № 469, от 03.02.2026 № 45, от 15.04.2026 № 220</w:t>
      </w:r>
      <w:r>
        <w:rPr>
          <w:rFonts w:eastAsia="Calibri"/>
          <w:sz w:val="28"/>
          <w:szCs w:val="28"/>
        </w:rPr>
        <w:t xml:space="preserve">, от 19.06.2026 № 374</w:t>
      </w:r>
      <w:r>
        <w:rPr>
          <w:rFonts w:eastAsia="Calibri"/>
          <w:sz w:val="28"/>
          <w:szCs w:val="28"/>
        </w:rPr>
        <w:t xml:space="preserve">),</w:t>
      </w:r>
      <w:r>
        <w:rPr>
          <w:rFonts w:eastAsia="Calibri"/>
          <w:sz w:val="28"/>
          <w:szCs w:val="28"/>
        </w:rPr>
        <w:t xml:space="preserve"> следующие изменения: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2.1. </w:t>
      </w:r>
      <w:r>
        <w:rPr>
          <w:rFonts w:eastAsia="Calibri"/>
          <w:sz w:val="28"/>
          <w:szCs w:val="28"/>
          <w:highlight w:val="none"/>
        </w:rPr>
        <w:t xml:space="preserve">пункт 1.1 изложить в следующей редакции: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«1.1. </w:t>
      </w:r>
      <w:r>
        <w:rPr>
          <w:rFonts w:eastAsia="Calibri"/>
          <w:sz w:val="28"/>
          <w:szCs w:val="28"/>
          <w:highlight w:val="none"/>
        </w:rPr>
        <w:t xml:space="preserve">Н</w:t>
      </w:r>
      <w:r>
        <w:rPr>
          <w:rFonts w:eastAsia="Calibri"/>
          <w:sz w:val="28"/>
          <w:szCs w:val="28"/>
          <w:highlight w:val="none"/>
        </w:rPr>
        <w:t xml:space="preserve">а</w:t>
      </w:r>
      <w:r>
        <w:rPr>
          <w:rFonts w:eastAsia="Calibri"/>
          <w:sz w:val="28"/>
          <w:szCs w:val="28"/>
          <w:highlight w:val="none"/>
        </w:rPr>
        <w:t xml:space="preserve">стоящий Регламент деятельности муниципальной рабочей группы </w:t>
        <w:br/>
        <w:t xml:space="preserve">по проверке обоснованности закупок для нужд муниципального образования город Пермь (далее – Регламент) определяет порядок деятельности муниципальной рабочей группы по проверке обоснованности заку</w:t>
      </w:r>
      <w:r>
        <w:rPr>
          <w:rFonts w:eastAsia="Calibri"/>
          <w:sz w:val="28"/>
          <w:szCs w:val="28"/>
          <w:highlight w:val="none"/>
        </w:rPr>
        <w:t xml:space="preserve">п</w:t>
      </w:r>
      <w:r>
        <w:rPr>
          <w:rFonts w:eastAsia="Calibri"/>
          <w:sz w:val="28"/>
          <w:szCs w:val="28"/>
          <w:highlight w:val="none"/>
        </w:rPr>
        <w:t xml:space="preserve">о</w:t>
      </w:r>
      <w:r>
        <w:rPr>
          <w:rFonts w:eastAsia="Calibri"/>
          <w:sz w:val="28"/>
          <w:szCs w:val="28"/>
          <w:highlight w:val="none"/>
        </w:rPr>
        <w:t xml:space="preserve">к для нужд муниципального образования город Пермь (далее – МРГ) при рассмотрении заявок </w:t>
        <w:br/>
        <w:t xml:space="preserve">на осуществление закупок товаров, работ, услуг (далее – Заявки на проведение закупки), </w:t>
      </w:r>
      <w:r>
        <w:rPr>
          <w:rFonts w:eastAsia="Calibri"/>
          <w:sz w:val="28"/>
          <w:szCs w:val="28"/>
          <w:highlight w:val="none"/>
        </w:rPr>
        <w:t xml:space="preserve">поступивших от заказчиков муниципального образования город Пермь, осуществляющих закупочную деятель</w:t>
      </w:r>
      <w:r>
        <w:rPr>
          <w:rFonts w:eastAsia="Calibri"/>
          <w:sz w:val="28"/>
          <w:szCs w:val="28"/>
          <w:highlight w:val="none"/>
        </w:rPr>
        <w:t xml:space="preserve">н</w:t>
      </w:r>
      <w:r>
        <w:rPr>
          <w:rFonts w:eastAsia="Calibri"/>
          <w:sz w:val="28"/>
          <w:szCs w:val="28"/>
          <w:highlight w:val="none"/>
        </w:rPr>
        <w:t xml:space="preserve">ост</w:t>
      </w:r>
      <w:r>
        <w:rPr>
          <w:rFonts w:eastAsia="Calibri"/>
          <w:sz w:val="28"/>
          <w:szCs w:val="28"/>
          <w:highlight w:val="none"/>
        </w:rPr>
        <w:t xml:space="preserve">ь в порядке, установленном Федеральным законом от 05 апреля 2013 г. № 44-ФЗ </w:t>
        <w:br/>
        <w:t xml:space="preserve">«О контрактной системе в сфере закупок товаров, работ, услуг для обеспечения государственных и муниципальных нужд» (далее – Закон № 44-ФЗ, Заказчики), </w:t>
      </w:r>
      <w:r>
        <w:rPr>
          <w:rFonts w:eastAsia="Calibri"/>
          <w:sz w:val="28"/>
          <w:szCs w:val="28"/>
          <w:highlight w:val="none"/>
        </w:rPr>
        <w:t xml:space="preserve">заявок с предложением об изменении существенных условий контрактов (договоров) (далее - контракты), заключенных </w:t>
      </w:r>
      <w:r>
        <w:rPr>
          <w:rFonts w:eastAsia="Calibri"/>
          <w:sz w:val="28"/>
          <w:szCs w:val="28"/>
          <w:highlight w:val="none"/>
        </w:rPr>
        <w:t xml:space="preserve">д</w:t>
      </w:r>
      <w:r>
        <w:rPr>
          <w:rFonts w:eastAsia="Calibri"/>
          <w:sz w:val="28"/>
          <w:szCs w:val="28"/>
          <w:highlight w:val="none"/>
        </w:rPr>
        <w:t xml:space="preserve">о 01 января 2027 г. для обеспечения нужд муниципального образования город Пермь (далее – Заявки с предложением об изменении существенных условий контракта), </w:t>
      </w:r>
      <w:r>
        <w:rPr>
          <w:rFonts w:eastAsia="Calibri"/>
          <w:sz w:val="28"/>
          <w:szCs w:val="28"/>
          <w:highlight w:val="none"/>
        </w:rPr>
        <w:t xml:space="preserve">заявок о необходим</w:t>
      </w:r>
      <w:r>
        <w:rPr>
          <w:rFonts w:eastAsia="Calibri"/>
          <w:sz w:val="28"/>
          <w:szCs w:val="28"/>
          <w:highlight w:val="none"/>
        </w:rPr>
        <w:t xml:space="preserve">о</w:t>
      </w:r>
      <w:r>
        <w:rPr>
          <w:rFonts w:eastAsia="Calibri"/>
          <w:sz w:val="28"/>
          <w:szCs w:val="28"/>
          <w:highlight w:val="none"/>
        </w:rPr>
        <w:t xml:space="preserve">ст</w:t>
      </w:r>
      <w:r>
        <w:rPr>
          <w:rFonts w:eastAsia="Calibri"/>
          <w:sz w:val="28"/>
          <w:szCs w:val="28"/>
          <w:highlight w:val="none"/>
        </w:rPr>
        <w:t xml:space="preserve">и авансовых платежей по планируемым к заключению контрактам на поставку товаров, выполнение работ, оказание услуг для обеспечения муниципальных нужд города Перми (далее – Заявки о необходимости авансовых платежей), </w:t>
      </w:r>
      <w:r>
        <w:rPr>
          <w:rFonts w:eastAsia="Calibri"/>
          <w:sz w:val="28"/>
          <w:szCs w:val="28"/>
          <w:highlight w:val="none"/>
        </w:rPr>
        <w:t xml:space="preserve">поступивших от заказчиков муниципального образования город Пермь, осуществляющих закупочную деятель</w:t>
      </w:r>
      <w:r>
        <w:rPr>
          <w:rFonts w:eastAsia="Calibri"/>
          <w:sz w:val="28"/>
          <w:szCs w:val="28"/>
          <w:highlight w:val="none"/>
        </w:rPr>
        <w:t xml:space="preserve">н</w:t>
      </w:r>
      <w:r>
        <w:rPr>
          <w:rFonts w:eastAsia="Calibri"/>
          <w:sz w:val="28"/>
          <w:szCs w:val="28"/>
          <w:highlight w:val="none"/>
        </w:rPr>
        <w:t xml:space="preserve">ост</w:t>
      </w:r>
      <w:r>
        <w:rPr>
          <w:rFonts w:eastAsia="Calibri"/>
          <w:sz w:val="28"/>
          <w:szCs w:val="28"/>
          <w:highlight w:val="none"/>
        </w:rPr>
        <w:t xml:space="preserve">ь в порядке, установленном </w:t>
      </w:r>
      <w:r>
        <w:rPr>
          <w:rFonts w:eastAsia="Calibri"/>
          <w:sz w:val="28"/>
          <w:szCs w:val="28"/>
          <w:highlight w:val="none"/>
        </w:rPr>
        <w:t xml:space="preserve">Федеральным законом от 18 июля 2011 г. № 223-ФЗ «О закупках товаров, работ, услуг отдельными видами юридических лиц» и Законом № 44-ФЗ</w:t>
      </w:r>
      <w:r>
        <w:rPr>
          <w:rFonts w:eastAsia="Calibri"/>
          <w:sz w:val="28"/>
          <w:szCs w:val="28"/>
          <w:highlight w:val="none"/>
        </w:rPr>
        <w:t xml:space="preserve">, на предмет их обоснованности и целе</w:t>
      </w:r>
      <w:r>
        <w:rPr>
          <w:rFonts w:eastAsia="Calibri"/>
          <w:sz w:val="28"/>
          <w:szCs w:val="28"/>
          <w:highlight w:val="none"/>
        </w:rPr>
        <w:t xml:space="preserve">сообразности и принятии решений МРГ по указанным вопросам.</w:t>
      </w:r>
      <w:r>
        <w:rPr>
          <w:rFonts w:eastAsia="Calibri"/>
          <w:sz w:val="28"/>
          <w:szCs w:val="28"/>
          <w:highlight w:val="none"/>
        </w:rPr>
        <w:t xml:space="preserve">»;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первого заместителя главы администрации города Перми Фурман Я.В.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Глава города Перми</w:t>
      </w:r>
      <w:r>
        <w:rPr>
          <w:sz w:val="28"/>
          <w:szCs w:val="24"/>
        </w:rPr>
        <w:tab/>
        <w:t xml:space="preserve">          </w:t>
      </w:r>
      <w:r>
        <w:rPr>
          <w:sz w:val="28"/>
          <w:szCs w:val="24"/>
        </w:rPr>
        <w:tab/>
        <w:t xml:space="preserve">                                                         </w:t>
      </w:r>
      <w:r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    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Э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Соснин</w:t>
      </w:r>
      <w:r>
        <w:rPr>
          <w:sz w:val="28"/>
          <w:szCs w:val="24"/>
        </w:rPr>
      </w:r>
      <w:r>
        <w:rPr>
          <w:sz w:val="28"/>
          <w:szCs w:val="24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9"/>
    <w:link w:val="882"/>
    <w:uiPriority w:val="99"/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  <w:style w:type="paragraph" w:styleId="968" w:customStyle="1">
    <w:name w:val="Default"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siluyanova-om</cp:lastModifiedBy>
  <cp:revision>33</cp:revision>
  <dcterms:created xsi:type="dcterms:W3CDTF">2024-04-19T10:07:00Z</dcterms:created>
  <dcterms:modified xsi:type="dcterms:W3CDTF">2026-06-25T09:45:31Z</dcterms:modified>
</cp:coreProperties>
</file>