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5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5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5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5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26.06.2026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707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391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5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5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5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5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26.06.2026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707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391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2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2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jc w:val="center"/>
        <w:spacing w:line="240" w:lineRule="exact"/>
        <w:rPr>
          <w:b/>
          <w:bCs/>
        </w:rPr>
      </w:pPr>
      <w:r>
        <w:rPr>
          <w:b/>
        </w:rPr>
        <w:t xml:space="preserve">О внесении изменений </w:t>
      </w:r>
      <w:r>
        <w:rPr>
          <w:b/>
        </w:rPr>
        <w:t xml:space="preserve">в Порядок определения объема </w:t>
      </w:r>
      <w:r>
        <w:rPr>
          <w:b/>
        </w:rPr>
        <w:t xml:space="preserve">и условий </w:t>
      </w:r>
      <w:r>
        <w:rPr>
          <w:b/>
          <w:bCs/>
        </w:rPr>
      </w:r>
      <w:r>
        <w:rPr>
          <w:b/>
          <w:bCs/>
        </w:rPr>
      </w:r>
    </w:p>
    <w:p>
      <w:pPr>
        <w:pStyle w:val="911"/>
        <w:jc w:val="center"/>
        <w:spacing w:line="240" w:lineRule="exact"/>
        <w:rPr>
          <w:b/>
          <w:bCs/>
        </w:rPr>
      </w:pPr>
      <w:r>
        <w:rPr>
          <w:b/>
        </w:rPr>
        <w:t xml:space="preserve">предоставления </w:t>
      </w:r>
      <w:r>
        <w:rPr>
          <w:b/>
        </w:rPr>
        <w:t xml:space="preserve">субсидий на иные цели бюджетным и </w:t>
      </w:r>
      <w:r>
        <w:rPr>
          <w:b/>
        </w:rPr>
        <w:t xml:space="preserve">автономным </w:t>
      </w:r>
      <w:r>
        <w:rPr>
          <w:b/>
          <w:bCs/>
        </w:rPr>
      </w:r>
      <w:r>
        <w:rPr>
          <w:b/>
          <w:bCs/>
        </w:rPr>
      </w:r>
    </w:p>
    <w:p>
      <w:pPr>
        <w:pStyle w:val="911"/>
        <w:jc w:val="center"/>
        <w:spacing w:line="240" w:lineRule="exact"/>
        <w:rPr>
          <w:b/>
          <w:bCs/>
        </w:rPr>
      </w:pPr>
      <w:r>
        <w:rPr>
          <w:b/>
        </w:rPr>
        <w:t xml:space="preserve">учреждениям </w:t>
      </w:r>
      <w:r>
        <w:rPr>
          <w:b/>
        </w:rPr>
        <w:t xml:space="preserve">на оснащение муниципальных </w:t>
      </w:r>
      <w:r>
        <w:rPr>
          <w:b/>
        </w:rPr>
        <w:t xml:space="preserve">образовательных организаций </w:t>
      </w:r>
      <w:r>
        <w:rPr>
          <w:b/>
          <w:bCs/>
        </w:rPr>
      </w:r>
      <w:r>
        <w:rPr>
          <w:b/>
          <w:bCs/>
        </w:rPr>
      </w:r>
    </w:p>
    <w:p>
      <w:pPr>
        <w:pStyle w:val="911"/>
        <w:jc w:val="center"/>
        <w:spacing w:line="240" w:lineRule="exact"/>
        <w:rPr>
          <w:b/>
          <w:bCs/>
        </w:rPr>
      </w:pPr>
      <w:r>
        <w:rPr>
          <w:b/>
        </w:rPr>
      </w:r>
      <w:r>
        <w:rPr>
          <w:b/>
        </w:rPr>
        <w:t xml:space="preserve">оборудованием, средствами обучения </w:t>
      </w:r>
      <w:r>
        <w:rPr>
          <w:b/>
        </w:rPr>
        <w:t xml:space="preserve">и воспитания, утвержденный </w:t>
      </w:r>
      <w:r>
        <w:rPr>
          <w:b/>
          <w:bCs/>
        </w:rPr>
      </w:r>
      <w:r>
        <w:rPr>
          <w:b/>
          <w:bCs/>
        </w:rPr>
      </w:r>
    </w:p>
    <w:p>
      <w:pPr>
        <w:pStyle w:val="911"/>
        <w:jc w:val="center"/>
        <w:spacing w:line="240" w:lineRule="exact"/>
        <w:rPr>
          <w:b/>
          <w:bCs/>
        </w:rPr>
      </w:pPr>
      <w:r>
        <w:rPr>
          <w:b/>
        </w:rPr>
      </w:r>
      <w:r>
        <w:rPr>
          <w:b/>
        </w:rPr>
        <w:t xml:space="preserve">постановлением администрации </w:t>
      </w:r>
      <w:r>
        <w:rPr>
          <w:b/>
        </w:rPr>
        <w:t xml:space="preserve">города Перми от 10.11.2022 № 1147 </w:t>
      </w:r>
      <w:r>
        <w:rPr>
          <w:b/>
          <w:bCs/>
        </w:rPr>
      </w:r>
      <w:r>
        <w:rPr>
          <w:b/>
          <w:bCs/>
        </w:rPr>
      </w:r>
    </w:p>
    <w:p>
      <w:pPr>
        <w:pStyle w:val="911"/>
        <w:spacing w:line="240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11"/>
        <w:spacing w:line="240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Пермского края </w:t>
      </w:r>
      <w:r>
        <w:rPr>
          <w:sz w:val="28"/>
          <w:szCs w:val="28"/>
        </w:rPr>
        <w:t xml:space="preserve">от 10 февраля 2023 г. № 105-п «Об утверждении Порядка предоставления и расходования иных межбюджетных трансфертов из бюджета Пермского края бюджетам муниципальных образований Пермского края на оснащение муниципальных образовательных организаций </w:t>
      </w:r>
      <w:r>
        <w:rPr>
          <w:sz w:val="28"/>
          <w:szCs w:val="28"/>
        </w:rPr>
        <w:t xml:space="preserve">оборудованием, средствами обучения и воспитания, признании утратившими силу отдельных постановлений Правительства Пермского края и о внесении изменений в отдельные постановления Правительства Пермского края», в целях актуализации нормативной правовой базы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>
        <w:rPr>
          <w:sz w:val="28"/>
        </w:rPr>
        <w:t xml:space="preserve">Внести в Порядок</w:t>
      </w:r>
      <w:r>
        <w:t xml:space="preserve"> </w:t>
      </w:r>
      <w:r>
        <w:rPr>
          <w:sz w:val="28"/>
        </w:rPr>
        <w:t xml:space="preserve">определения объема и условий предоставления субсидий на иные цели бюджетным и автономным учреждениям на оснащение муниципальных образовательных организаций оборудованием, средствами обучения </w:t>
      </w:r>
      <w:r>
        <w:rPr>
          <w:sz w:val="28"/>
        </w:rPr>
        <w:br/>
        <w:t xml:space="preserve">и воспитания, утвержденный постановлением администрации города Перми </w:t>
      </w:r>
      <w:r>
        <w:rPr>
          <w:sz w:val="28"/>
        </w:rPr>
        <w:br/>
        <w:t xml:space="preserve">от 10 ноября 2022 г. № 1147 (в ред. от 16.03.2023 № 203, от 13.10.2023 № 1026, </w:t>
      </w:r>
      <w:r>
        <w:rPr>
          <w:sz w:val="28"/>
        </w:rPr>
        <w:br/>
        <w:t xml:space="preserve">от 18.10.2023 № 1113, от 27.11.2023 № 1303, от 25.12.2023 № 1471, от 23.04.2024 № 316, от 29.05.2024 № 421, от 13.06.2024 № 485, от 20.08.2024 № 671, </w:t>
      </w:r>
      <w:r>
        <w:rPr>
          <w:sz w:val="28"/>
        </w:rPr>
        <w:br/>
        <w:t xml:space="preserve">от 15.10.2024 № 888, от 21.10.2024 № 992, от 13.12.2024 № 1234, от 27.12.2024 </w:t>
      </w:r>
      <w:r>
        <w:rPr>
          <w:sz w:val="28"/>
        </w:rPr>
        <w:br/>
        <w:t xml:space="preserve">№ 1303, от 22.04.2025 № 273, от 21.04.2026 № 235), следующие изменения: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7116" w:leader="none"/>
        </w:tabs>
        <w:rPr>
          <w:sz w:val="28"/>
        </w:rPr>
      </w:pPr>
      <w:r>
        <w:rPr>
          <w:sz w:val="28"/>
        </w:rPr>
        <w:t xml:space="preserve">1.1. пункт 1.4.8 изложить в следующей редакции</w:t>
      </w:r>
      <w:r>
        <w:rPr>
          <w:sz w:val="28"/>
        </w:rPr>
        <w:t xml:space="preserve">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«1.4.8. на создание материально-технической базы в образовательной организации для обучения правилам дор</w:t>
      </w:r>
      <w:r>
        <w:rPr>
          <w:sz w:val="28"/>
        </w:rPr>
        <w:t xml:space="preserve">ожного движения для приобретения экипировки (форменного обмундирования отрядов юных инспекторов движения), оборудования и инвентаря, необходимого для изучения обучающимися правил дорожного движения (велосипедов, макетов дорожных знаков и светофоров, досок </w:t>
      </w:r>
      <w:r>
        <w:rPr>
          <w:sz w:val="28"/>
        </w:rPr>
        <w:br/>
      </w:r>
      <w:r>
        <w:rPr>
          <w:sz w:val="28"/>
        </w:rPr>
        <w:t xml:space="preserve">с нанесенной разметкой перекрестк</w:t>
      </w:r>
      <w:r>
        <w:rPr>
          <w:sz w:val="28"/>
        </w:rPr>
        <w:t xml:space="preserve">ов, магнитных наборов детских знаков правил дорожного движения, магнитных досок, игровых наборов по изучению правил дорожного движения, тренажеров для отработки приемов оказания первой помощи, информационных стендов для изучения правил дорожного движения) </w:t>
      </w:r>
      <w:r>
        <w:rPr>
          <w:sz w:val="28"/>
        </w:rPr>
        <w:t xml:space="preserve">и функционирования отрядов юных инспекторов движения в рамках реализации мероприятия по созданию материально-технической базы в образовательных организациях для обучения правилам дорожного движения.»;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1</w:t>
      </w:r>
      <w:r>
        <w:rPr>
          <w:sz w:val="28"/>
        </w:rPr>
        <w:t xml:space="preserve">.2. пункт </w:t>
      </w:r>
      <w:bookmarkStart w:id="0" w:name="_GoBack"/>
      <w:r/>
      <w:bookmarkEnd w:id="0"/>
      <w:r>
        <w:rPr>
          <w:sz w:val="28"/>
        </w:rPr>
        <w:t xml:space="preserve">2.5.9</w:t>
      </w:r>
      <w:r>
        <w:rPr>
          <w:sz w:val="28"/>
        </w:rPr>
        <w:t xml:space="preserve"> </w:t>
      </w:r>
      <w:r>
        <w:rPr>
          <w:sz w:val="28"/>
        </w:rPr>
        <w:t xml:space="preserve">изложить в следующей редакции: 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«2.5.9. на создание в образовательной организации материально-технической базы для обучения правилам дорожного движения из расчета 330,0 тыс. руб. на одно Учреждение.»;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1.3</w:t>
      </w:r>
      <w:r>
        <w:rPr>
          <w:sz w:val="28"/>
        </w:rPr>
        <w:t xml:space="preserve">.</w:t>
      </w:r>
      <w:r>
        <w:t xml:space="preserve"> </w:t>
      </w:r>
      <w:r>
        <w:rPr>
          <w:sz w:val="28"/>
        </w:rPr>
        <w:t xml:space="preserve">в пункте 2.13.2 слова «</w:t>
      </w:r>
      <w:r>
        <w:rPr>
          <w:sz w:val="28"/>
        </w:rPr>
        <w:t xml:space="preserve">количество средств обучения и воспитания, приобретенных в соответствии с Федеральным перечнем,» заменить словами «количество оснащенных муниципальных образовательных организаций средствами обучения и воспитания в соответствии с согласованным Министерством </w:t>
      </w:r>
      <w:r>
        <w:rPr>
          <w:sz w:val="28"/>
        </w:rPr>
        <w:t xml:space="preserve">образования и науки Пермского края </w:t>
      </w:r>
      <w:r>
        <w:rPr>
          <w:sz w:val="28"/>
        </w:rPr>
        <w:t xml:space="preserve">перечнем»;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1.4</w:t>
      </w:r>
      <w:r>
        <w:rPr>
          <w:sz w:val="28"/>
        </w:rPr>
        <w:t xml:space="preserve">. пункт 2.13.8 изложить в следующей редакции: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«2.13.8. по направлению, указанному в пункте 1.4.8 настоящего Порядка, </w:t>
      </w:r>
      <w:r>
        <w:rPr>
          <w:sz w:val="28"/>
          <w:szCs w:val="28"/>
        </w:rPr>
        <w:t xml:space="preserve">–</w:t>
      </w:r>
      <w:r>
        <w:t xml:space="preserve"> </w:t>
      </w:r>
      <w:r>
        <w:rPr>
          <w:sz w:val="28"/>
        </w:rPr>
        <w:t xml:space="preserve">количество образовательных организаций, в которых создана материально-техническая база для обучения правилам дорожного движения в соответствии </w:t>
      </w:r>
      <w:r>
        <w:rPr>
          <w:sz w:val="28"/>
        </w:rPr>
        <w:br/>
        <w:t xml:space="preserve">с муниципальной программой «Доступное и качественное образование».».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3. Управлению по общим вопр</w:t>
      </w:r>
      <w:r>
        <w:rPr>
          <w:sz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  <w:t xml:space="preserve">на заместителя главы администрации города Перми Мальцеву Е.Д.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rPr>
        <w:rStyle w:val="907"/>
      </w:rPr>
      <w:framePr w:wrap="around" w:vAnchor="text" w:hAnchor="margin" w:xAlign="center" w:y="1"/>
    </w:pPr>
    <w:r>
      <w:rPr>
        <w:rStyle w:val="907"/>
      </w:rPr>
      <w:fldChar w:fldCharType="begin"/>
    </w:r>
    <w:r>
      <w:rPr>
        <w:rStyle w:val="907"/>
      </w:rPr>
      <w:instrText xml:space="preserve">PAGE  </w:instrText>
    </w:r>
    <w:r>
      <w:rPr>
        <w:rStyle w:val="907"/>
      </w:rPr>
      <w:fldChar w:fldCharType="end"/>
    </w:r>
    <w:r>
      <w:rPr>
        <w:rStyle w:val="907"/>
      </w:rPr>
    </w:r>
    <w:r>
      <w:rPr>
        <w:rStyle w:val="907"/>
      </w:rPr>
    </w:r>
  </w:p>
  <w:p>
    <w:pPr>
      <w:pStyle w:val="75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 w:default="1">
    <w:name w:val="Normal"/>
    <w:qFormat/>
    <w:rPr>
      <w:lang w:eastAsia="ru-RU"/>
    </w:rPr>
  </w:style>
  <w:style w:type="paragraph" w:styleId="706">
    <w:name w:val="Heading 1"/>
    <w:basedOn w:val="705"/>
    <w:next w:val="705"/>
    <w:link w:val="900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707">
    <w:name w:val="Heading 2"/>
    <w:basedOn w:val="705"/>
    <w:next w:val="705"/>
    <w:link w:val="90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paragraph" w:styleId="708">
    <w:name w:val="Heading 3"/>
    <w:basedOn w:val="705"/>
    <w:next w:val="705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9">
    <w:name w:val="Heading 4"/>
    <w:basedOn w:val="705"/>
    <w:next w:val="705"/>
    <w:link w:val="7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705"/>
    <w:next w:val="705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705"/>
    <w:next w:val="705"/>
    <w:link w:val="7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705"/>
    <w:next w:val="705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705"/>
    <w:next w:val="705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705"/>
    <w:next w:val="705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character" w:styleId="718" w:customStyle="1">
    <w:name w:val="Heading 3 Char"/>
    <w:basedOn w:val="715"/>
    <w:uiPriority w:val="9"/>
    <w:rPr>
      <w:rFonts w:ascii="Arial" w:hAnsi="Arial" w:eastAsia="Arial" w:cs="Arial"/>
      <w:sz w:val="30"/>
      <w:szCs w:val="30"/>
    </w:rPr>
  </w:style>
  <w:style w:type="character" w:styleId="719" w:customStyle="1">
    <w:name w:val="Heading 4 Char"/>
    <w:basedOn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20" w:customStyle="1">
    <w:name w:val="Heading 5 Char"/>
    <w:basedOn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1" w:customStyle="1">
    <w:name w:val="Heading 6 Char"/>
    <w:basedOn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22" w:customStyle="1">
    <w:name w:val="Heading 7 Char"/>
    <w:basedOn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Heading 8 Char"/>
    <w:basedOn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9 Char"/>
    <w:basedOn w:val="715"/>
    <w:uiPriority w:val="9"/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Title Char"/>
    <w:basedOn w:val="715"/>
    <w:uiPriority w:val="10"/>
    <w:rPr>
      <w:sz w:val="48"/>
      <w:szCs w:val="48"/>
    </w:rPr>
  </w:style>
  <w:style w:type="character" w:styleId="726" w:customStyle="1">
    <w:name w:val="Subtitle Char"/>
    <w:basedOn w:val="715"/>
    <w:uiPriority w:val="11"/>
    <w:rPr>
      <w:sz w:val="24"/>
      <w:szCs w:val="24"/>
    </w:rPr>
  </w:style>
  <w:style w:type="character" w:styleId="727" w:customStyle="1">
    <w:name w:val="Quote Char"/>
    <w:uiPriority w:val="29"/>
    <w:rPr>
      <w:i/>
    </w:rPr>
  </w:style>
  <w:style w:type="character" w:styleId="728" w:customStyle="1">
    <w:name w:val="Intense Quote Char"/>
    <w:uiPriority w:val="30"/>
    <w:rPr>
      <w:i/>
    </w:rPr>
  </w:style>
  <w:style w:type="character" w:styleId="729" w:customStyle="1">
    <w:name w:val="Footnote Text Char"/>
    <w:uiPriority w:val="99"/>
    <w:rPr>
      <w:sz w:val="18"/>
    </w:rPr>
  </w:style>
  <w:style w:type="character" w:styleId="730" w:customStyle="1">
    <w:name w:val="Endnote Text Char"/>
    <w:uiPriority w:val="99"/>
    <w:rPr>
      <w:sz w:val="20"/>
    </w:rPr>
  </w:style>
  <w:style w:type="character" w:styleId="73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Heading 2 Char"/>
    <w:uiPriority w:val="9"/>
    <w:rPr>
      <w:rFonts w:ascii="Arial" w:hAnsi="Arial" w:eastAsia="Arial" w:cs="Arial"/>
      <w:sz w:val="34"/>
    </w:rPr>
  </w:style>
  <w:style w:type="character" w:styleId="733" w:customStyle="1">
    <w:name w:val="Заголовок 3 Знак"/>
    <w:link w:val="708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Заголовок 4 Знак"/>
    <w:link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Заголовок 5 Знак"/>
    <w:link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736" w:customStyle="1">
    <w:name w:val="Заголовок 6 Знак"/>
    <w:link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Заголовок 7 Знак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8" w:customStyle="1">
    <w:name w:val="Заголовок 8 Знак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39" w:customStyle="1">
    <w:name w:val="Заголовок 9 Знак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705"/>
    <w:uiPriority w:val="34"/>
    <w:qFormat/>
    <w:pPr>
      <w:contextualSpacing/>
      <w:ind w:left="720"/>
    </w:pPr>
  </w:style>
  <w:style w:type="paragraph" w:styleId="741">
    <w:name w:val="No Spacing"/>
    <w:uiPriority w:val="1"/>
    <w:qFormat/>
  </w:style>
  <w:style w:type="paragraph" w:styleId="742">
    <w:name w:val="Title"/>
    <w:basedOn w:val="705"/>
    <w:next w:val="705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 w:customStyle="1">
    <w:name w:val="Название Знак"/>
    <w:link w:val="742"/>
    <w:uiPriority w:val="10"/>
    <w:rPr>
      <w:sz w:val="48"/>
      <w:szCs w:val="48"/>
    </w:rPr>
  </w:style>
  <w:style w:type="paragraph" w:styleId="744">
    <w:name w:val="Subtitle"/>
    <w:basedOn w:val="705"/>
    <w:next w:val="705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 w:customStyle="1">
    <w:name w:val="Подзаголовок Знак"/>
    <w:link w:val="744"/>
    <w:uiPriority w:val="11"/>
    <w:rPr>
      <w:sz w:val="24"/>
      <w:szCs w:val="24"/>
    </w:rPr>
  </w:style>
  <w:style w:type="paragraph" w:styleId="746">
    <w:name w:val="Quote"/>
    <w:basedOn w:val="705"/>
    <w:next w:val="705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05"/>
    <w:next w:val="705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paragraph" w:styleId="750">
    <w:name w:val="Header"/>
    <w:basedOn w:val="705"/>
    <w:link w:val="908"/>
    <w:uiPriority w:val="99"/>
    <w:pPr>
      <w:tabs>
        <w:tab w:val="center" w:pos="4153" w:leader="none"/>
        <w:tab w:val="right" w:pos="8306" w:leader="none"/>
      </w:tabs>
    </w:pPr>
  </w:style>
  <w:style w:type="character" w:styleId="751" w:customStyle="1">
    <w:name w:val="Header Char"/>
    <w:uiPriority w:val="99"/>
  </w:style>
  <w:style w:type="paragraph" w:styleId="752">
    <w:name w:val="Footer"/>
    <w:basedOn w:val="705"/>
    <w:link w:val="906"/>
    <w:uiPriority w:val="99"/>
    <w:pPr>
      <w:tabs>
        <w:tab w:val="center" w:pos="4153" w:leader="none"/>
        <w:tab w:val="right" w:pos="8306" w:leader="none"/>
      </w:tabs>
    </w:pPr>
  </w:style>
  <w:style w:type="character" w:styleId="753" w:customStyle="1">
    <w:name w:val="Footer Char"/>
    <w:uiPriority w:val="99"/>
  </w:style>
  <w:style w:type="paragraph" w:styleId="754">
    <w:name w:val="Caption"/>
    <w:basedOn w:val="705"/>
    <w:next w:val="705"/>
    <w:link w:val="755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55" w:customStyle="1">
    <w:name w:val="Caption Char"/>
    <w:uiPriority w:val="99"/>
  </w:style>
  <w:style w:type="table" w:styleId="756">
    <w:name w:val="Table Grid"/>
    <w:basedOn w:val="716"/>
    <w:tblPr/>
  </w:style>
  <w:style w:type="table" w:styleId="75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8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5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4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2">
    <w:name w:val="Hyperlink"/>
    <w:uiPriority w:val="99"/>
    <w:unhideWhenUsed/>
    <w:rPr>
      <w:color w:val="0000ff"/>
      <w:u w:val="single"/>
    </w:rPr>
  </w:style>
  <w:style w:type="paragraph" w:styleId="883">
    <w:name w:val="footnote text"/>
    <w:basedOn w:val="705"/>
    <w:link w:val="884"/>
    <w:uiPriority w:val="99"/>
    <w:semiHidden/>
    <w:unhideWhenUsed/>
    <w:pPr>
      <w:spacing w:after="40"/>
    </w:pPr>
    <w:rPr>
      <w:sz w:val="18"/>
    </w:rPr>
  </w:style>
  <w:style w:type="character" w:styleId="884" w:customStyle="1">
    <w:name w:val="Текст сноски Знак"/>
    <w:link w:val="883"/>
    <w:uiPriority w:val="99"/>
    <w:rPr>
      <w:sz w:val="18"/>
    </w:rPr>
  </w:style>
  <w:style w:type="character" w:styleId="885">
    <w:name w:val="footnote reference"/>
    <w:uiPriority w:val="99"/>
    <w:unhideWhenUsed/>
    <w:rPr>
      <w:vertAlign w:val="superscript"/>
    </w:rPr>
  </w:style>
  <w:style w:type="paragraph" w:styleId="886">
    <w:name w:val="endnote text"/>
    <w:basedOn w:val="705"/>
    <w:link w:val="887"/>
    <w:uiPriority w:val="99"/>
    <w:semiHidden/>
    <w:unhideWhenUsed/>
  </w:style>
  <w:style w:type="character" w:styleId="887" w:customStyle="1">
    <w:name w:val="Текст концевой сноски Знак"/>
    <w:link w:val="886"/>
    <w:uiPriority w:val="99"/>
    <w:rPr>
      <w:sz w:val="20"/>
    </w:rPr>
  </w:style>
  <w:style w:type="character" w:styleId="888">
    <w:name w:val="endnote reference"/>
    <w:uiPriority w:val="99"/>
    <w:semiHidden/>
    <w:unhideWhenUsed/>
    <w:rPr>
      <w:vertAlign w:val="superscript"/>
    </w:rPr>
  </w:style>
  <w:style w:type="paragraph" w:styleId="889">
    <w:name w:val="toc 1"/>
    <w:basedOn w:val="705"/>
    <w:next w:val="705"/>
    <w:uiPriority w:val="39"/>
    <w:unhideWhenUsed/>
    <w:pPr>
      <w:spacing w:after="57"/>
    </w:pPr>
  </w:style>
  <w:style w:type="paragraph" w:styleId="890">
    <w:name w:val="toc 2"/>
    <w:basedOn w:val="705"/>
    <w:next w:val="705"/>
    <w:uiPriority w:val="39"/>
    <w:unhideWhenUsed/>
    <w:pPr>
      <w:ind w:left="283"/>
      <w:spacing w:after="57"/>
    </w:pPr>
  </w:style>
  <w:style w:type="paragraph" w:styleId="891">
    <w:name w:val="toc 3"/>
    <w:basedOn w:val="705"/>
    <w:next w:val="705"/>
    <w:uiPriority w:val="39"/>
    <w:unhideWhenUsed/>
    <w:pPr>
      <w:ind w:left="567"/>
      <w:spacing w:after="57"/>
    </w:pPr>
  </w:style>
  <w:style w:type="paragraph" w:styleId="892">
    <w:name w:val="toc 4"/>
    <w:basedOn w:val="705"/>
    <w:next w:val="705"/>
    <w:uiPriority w:val="39"/>
    <w:unhideWhenUsed/>
    <w:pPr>
      <w:ind w:left="850"/>
      <w:spacing w:after="57"/>
    </w:pPr>
  </w:style>
  <w:style w:type="paragraph" w:styleId="893">
    <w:name w:val="toc 5"/>
    <w:basedOn w:val="705"/>
    <w:next w:val="705"/>
    <w:uiPriority w:val="39"/>
    <w:unhideWhenUsed/>
    <w:pPr>
      <w:ind w:left="1134"/>
      <w:spacing w:after="57"/>
    </w:pPr>
  </w:style>
  <w:style w:type="paragraph" w:styleId="894">
    <w:name w:val="toc 6"/>
    <w:basedOn w:val="705"/>
    <w:next w:val="705"/>
    <w:uiPriority w:val="39"/>
    <w:unhideWhenUsed/>
    <w:pPr>
      <w:ind w:left="1417"/>
      <w:spacing w:after="57"/>
    </w:pPr>
  </w:style>
  <w:style w:type="paragraph" w:styleId="895">
    <w:name w:val="toc 7"/>
    <w:basedOn w:val="705"/>
    <w:next w:val="705"/>
    <w:uiPriority w:val="39"/>
    <w:unhideWhenUsed/>
    <w:pPr>
      <w:ind w:left="1701"/>
      <w:spacing w:after="57"/>
    </w:pPr>
  </w:style>
  <w:style w:type="paragraph" w:styleId="896">
    <w:name w:val="toc 8"/>
    <w:basedOn w:val="705"/>
    <w:next w:val="705"/>
    <w:uiPriority w:val="39"/>
    <w:unhideWhenUsed/>
    <w:pPr>
      <w:ind w:left="1984"/>
      <w:spacing w:after="57"/>
    </w:pPr>
  </w:style>
  <w:style w:type="paragraph" w:styleId="897">
    <w:name w:val="toc 9"/>
    <w:basedOn w:val="705"/>
    <w:next w:val="705"/>
    <w:uiPriority w:val="39"/>
    <w:unhideWhenUsed/>
    <w:pPr>
      <w:ind w:left="2268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705"/>
    <w:next w:val="705"/>
    <w:uiPriority w:val="99"/>
    <w:unhideWhenUsed/>
  </w:style>
  <w:style w:type="character" w:styleId="900" w:customStyle="1">
    <w:name w:val="Заголовок 1 Знак"/>
    <w:link w:val="706"/>
    <w:rPr>
      <w:sz w:val="24"/>
    </w:rPr>
  </w:style>
  <w:style w:type="character" w:styleId="901" w:customStyle="1">
    <w:name w:val="Заголовок 2 Знак"/>
    <w:link w:val="707"/>
    <w:rPr>
      <w:sz w:val="24"/>
    </w:rPr>
  </w:style>
  <w:style w:type="paragraph" w:styleId="902">
    <w:name w:val="Body Text"/>
    <w:basedOn w:val="705"/>
    <w:link w:val="903"/>
    <w:pPr>
      <w:ind w:right="3117"/>
    </w:pPr>
    <w:rPr>
      <w:rFonts w:ascii="Courier New" w:hAnsi="Courier New"/>
      <w:sz w:val="26"/>
      <w:lang w:val="en-US" w:eastAsia="en-US"/>
    </w:rPr>
  </w:style>
  <w:style w:type="character" w:styleId="903" w:customStyle="1">
    <w:name w:val="Основной текст Знак"/>
    <w:link w:val="902"/>
    <w:rPr>
      <w:rFonts w:ascii="Courier New" w:hAnsi="Courier New"/>
      <w:sz w:val="26"/>
    </w:rPr>
  </w:style>
  <w:style w:type="paragraph" w:styleId="904">
    <w:name w:val="Body Text Indent"/>
    <w:basedOn w:val="705"/>
    <w:link w:val="905"/>
    <w:pPr>
      <w:ind w:right="-1"/>
      <w:jc w:val="both"/>
    </w:pPr>
    <w:rPr>
      <w:sz w:val="26"/>
      <w:lang w:val="en-US" w:eastAsia="en-US"/>
    </w:rPr>
  </w:style>
  <w:style w:type="character" w:styleId="905" w:customStyle="1">
    <w:name w:val="Основной текст с отступом Знак"/>
    <w:link w:val="904"/>
    <w:rPr>
      <w:sz w:val="26"/>
    </w:rPr>
  </w:style>
  <w:style w:type="character" w:styleId="906" w:customStyle="1">
    <w:name w:val="Нижний колонтитул Знак"/>
    <w:basedOn w:val="715"/>
    <w:link w:val="752"/>
    <w:uiPriority w:val="99"/>
  </w:style>
  <w:style w:type="character" w:styleId="907">
    <w:name w:val="page number"/>
    <w:basedOn w:val="715"/>
  </w:style>
  <w:style w:type="character" w:styleId="908" w:customStyle="1">
    <w:name w:val="Верхний колонтитул Знак"/>
    <w:link w:val="750"/>
    <w:uiPriority w:val="99"/>
  </w:style>
  <w:style w:type="paragraph" w:styleId="909">
    <w:name w:val="Balloon Text"/>
    <w:basedOn w:val="705"/>
    <w:link w:val="910"/>
    <w:rPr>
      <w:rFonts w:ascii="Segoe UI" w:hAnsi="Segoe UI"/>
      <w:sz w:val="18"/>
      <w:szCs w:val="18"/>
      <w:lang w:val="en-US" w:eastAsia="en-US"/>
    </w:rPr>
  </w:style>
  <w:style w:type="character" w:styleId="910" w:customStyle="1">
    <w:name w:val="Текст выноски Знак"/>
    <w:link w:val="909"/>
    <w:rPr>
      <w:rFonts w:ascii="Segoe UI" w:hAnsi="Segoe UI" w:cs="Segoe UI"/>
      <w:sz w:val="18"/>
      <w:szCs w:val="18"/>
    </w:rPr>
  </w:style>
  <w:style w:type="paragraph" w:styleId="911" w:customStyle="1">
    <w:name w:val="Форма"/>
    <w:rPr>
      <w:sz w:val="28"/>
      <w:szCs w:val="28"/>
      <w:lang w:eastAsia="ru-RU"/>
    </w:rPr>
  </w:style>
  <w:style w:type="paragraph" w:styleId="912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paragraph" w:styleId="913" w:customStyle="1">
    <w:name w:val="ConsPlusNormal"/>
    <w:qFormat/>
    <w:pPr>
      <w:widowControl w:val="off"/>
    </w:pPr>
    <w:rPr>
      <w:rFonts w:ascii="Calibri" w:hAnsi="Calibri" w:cs="Calibri"/>
      <w:sz w:val="22"/>
      <w:lang w:eastAsia="ru-RU"/>
    </w:rPr>
  </w:style>
  <w:style w:type="paragraph" w:styleId="914" w:customStyle="1">
    <w:name w:val="Default"/>
    <w:rPr>
      <w:color w:val="000000"/>
      <w:sz w:val="24"/>
      <w:szCs w:val="24"/>
      <w:lang w:eastAsia="ru-RU"/>
    </w:rPr>
  </w:style>
  <w:style w:type="paragraph" w:styleId="915">
    <w:name w:val="HTML Preformatted"/>
    <w:basedOn w:val="705"/>
    <w:link w:val="916"/>
    <w:rPr>
      <w:rFonts w:ascii="Courier New" w:hAnsi="Courier New" w:cs="Courier New"/>
    </w:rPr>
  </w:style>
  <w:style w:type="character" w:styleId="916" w:customStyle="1">
    <w:name w:val="Стандартный HTML Знак"/>
    <w:link w:val="915"/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20</cp:revision>
  <dcterms:created xsi:type="dcterms:W3CDTF">2025-03-25T08:27:00Z</dcterms:created>
  <dcterms:modified xsi:type="dcterms:W3CDTF">2026-06-26T10:06:16Z</dcterms:modified>
  <cp:version>983040</cp:version>
</cp:coreProperties>
</file>