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0"/>
        <w:jc w:val="center"/>
        <w:spacing w:before="0"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ГОРОДА ПЕРМИ</w:t>
      </w:r>
      <w:r>
        <w:rPr>
          <w:rFonts w:ascii="Times New Roman" w:hAnsi="Times New Roman" w:cs="Times New Roman"/>
          <w:i w:val="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8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680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8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</w:rPr>
      </w:r>
      <w:r>
        <w:rPr>
          <w:rFonts w:ascii="Times New Roman" w:hAnsi="Times New Roman" w:cs="Times New Roman"/>
          <w:i w:val="0"/>
          <w:sz w:val="24"/>
        </w:rPr>
      </w:r>
    </w:p>
    <w:p>
      <w:pPr>
        <w:pStyle w:val="978"/>
        <w:ind w:right="0"/>
        <w:jc w:val="center"/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 О С Т А Н О В Л Е Н И 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t xml:space="preserve">01.07.2026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395</w:t>
      </w:r>
      <w:r>
        <w:rPr>
          <w:sz w:val="28"/>
          <w:szCs w:val="28"/>
          <w:u w:val="singl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3"/>
        <w:jc w:val="center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муниципальную программу </w:t>
      </w:r>
      <w:r>
        <w:rPr>
          <w:b/>
        </w:rPr>
        <w:t xml:space="preserve">«Экономическое 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line="240" w:lineRule="exact"/>
        <w:rPr>
          <w:b/>
          <w:bCs/>
        </w:rPr>
      </w:pPr>
      <w:r>
        <w:rPr>
          <w:b/>
        </w:rPr>
        <w:t xml:space="preserve">развитие города </w:t>
      </w:r>
      <w:r>
        <w:rPr>
          <w:b/>
        </w:rPr>
        <w:t xml:space="preserve">Перми», </w:t>
      </w:r>
      <w:r>
        <w:rPr>
          <w:b/>
        </w:rPr>
        <w:t xml:space="preserve">утвержденную</w:t>
      </w:r>
      <w:r>
        <w:rPr>
          <w:b/>
        </w:rPr>
        <w:t xml:space="preserve"> </w:t>
      </w: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line="240" w:lineRule="exact"/>
        <w:rPr>
          <w:b/>
        </w:rPr>
      </w:pPr>
      <w:r>
        <w:rPr>
          <w:b/>
        </w:rPr>
        <w:t xml:space="preserve">города Перми от 17.10.2024 № 922 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2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</w:t>
      </w:r>
      <w:r>
        <w:rPr>
          <w:rFonts w:ascii="Times New Roman" w:hAnsi="Times New Roman"/>
          <w:sz w:val="28"/>
          <w:szCs w:val="28"/>
        </w:rPr>
        <w:t xml:space="preserve">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в единой системе публичной власти», Уставом города Перми, решением Пер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ской городской Думы от 28 августа 2007 г. № 185 «Об утверждении Положения </w:t>
      </w:r>
      <w:r>
        <w:rPr>
          <w:rFonts w:ascii="Times New Roman" w:hAnsi="Times New Roman"/>
          <w:sz w:val="28"/>
          <w:szCs w:val="28"/>
        </w:rPr>
        <w:br/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бюджете</w:t>
      </w:r>
      <w:r>
        <w:rPr>
          <w:rFonts w:ascii="Times New Roman" w:hAnsi="Times New Roman"/>
          <w:sz w:val="28"/>
          <w:szCs w:val="28"/>
        </w:rPr>
        <w:t xml:space="preserve"> и бюджетном процессе в городе Перми», постановлением администр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ции города Перми от 02 сентября 2024 г. № 715 «Об утверждении Порядка разр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ботки, реализации и оценки эффективности муниципальных программ города Перми»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прилагаемые изменения в муниципальную программу «Эк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номическое развитие города Перми», утвержденную постановлением админис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рации города Перми от 17 октября 2024 г. № 922 (в ред. от 09.12.2024 № 1196, </w:t>
      </w:r>
      <w:r>
        <w:rPr>
          <w:rFonts w:ascii="Times New Roman" w:hAnsi="Times New Roman"/>
          <w:sz w:val="28"/>
          <w:szCs w:val="28"/>
        </w:rPr>
        <w:br/>
        <w:t xml:space="preserve">от 05.02.2025 № 41, от 10.04.2025 № 237, от 08.08.2025 № 539, от 06.10.2025 </w:t>
      </w:r>
      <w:r>
        <w:rPr>
          <w:rFonts w:ascii="Times New Roman" w:hAnsi="Times New Roman"/>
          <w:sz w:val="28"/>
          <w:szCs w:val="28"/>
        </w:rPr>
        <w:br/>
        <w:t xml:space="preserve">№ 723, от 17.10.2025 № 808, от 19.11.2025 № 952, от 29.12.2025 № 1059, </w:t>
      </w:r>
      <w:r>
        <w:rPr>
          <w:rFonts w:ascii="Times New Roman" w:hAnsi="Times New Roman"/>
          <w:sz w:val="28"/>
          <w:szCs w:val="28"/>
        </w:rPr>
        <w:br/>
        <w:t xml:space="preserve">от 30.01.2026 № 38, от 12.03.2026 № 138).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2"/>
        </w:rPr>
        <w:t xml:space="preserve">Настоящее постановление вступает в силу со дня официального опубл</w:t>
      </w:r>
      <w:r>
        <w:rPr>
          <w:color w:val="000000"/>
          <w:sz w:val="28"/>
          <w:szCs w:val="22"/>
        </w:rPr>
        <w:t xml:space="preserve">и</w:t>
      </w:r>
      <w:r>
        <w:rPr>
          <w:color w:val="000000"/>
          <w:sz w:val="28"/>
          <w:szCs w:val="22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hyperlink r:id="rId17" w:tooltip="http://www.gorodperm.ru" w:history="1">
        <w:r>
          <w:rPr>
            <w:rStyle w:val="959"/>
            <w:color w:val="auto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2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первого заместителя главы администрации города Перми Фурман Я.В.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2"/>
        <w:ind w:right="-2"/>
        <w:spacing w:line="23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01.07.2026 № 395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«Экономическое развитие города Перми», утвержденную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17 октября 2024 г. № 922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разделе «Паспорт муниципальной программы «Экономическое развитие города Перми» строку «Объемы и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67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3827"/>
        <w:gridCol w:w="1418"/>
        <w:gridCol w:w="1417"/>
        <w:gridCol w:w="1559"/>
        <w:gridCol w:w="1418"/>
        <w:gridCol w:w="1276"/>
        <w:gridCol w:w="1417"/>
      </w:tblGrid>
      <w:tr>
        <w:tblPrEx/>
        <w:trPr>
          <w:cantSplit w:val="false"/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Объемы и источники финансового обеспеч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ния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126 099,5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125 386,9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120 383,8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607 872,1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126 099,5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125 386,9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120 383,8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607 872,1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8 080,1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983 311,2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983 311,2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979 443,3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978 154,0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3 932 299,8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2 607,2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2 714,1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2 825,4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2 938,4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13 528,2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</w:rPr>
        <w:t xml:space="preserve">«Стратегические приоритеты муниципальной программы «Экономическое развитие города Перми» пункт 1.1 «</w:t>
      </w:r>
      <w:r>
        <w:rPr>
          <w:sz w:val="28"/>
          <w:szCs w:val="28"/>
        </w:rPr>
        <w:t xml:space="preserve">Оценка текущего состояния сферы реализации программы</w:t>
      </w:r>
      <w:r>
        <w:rPr>
          <w:sz w:val="28"/>
          <w:szCs w:val="28"/>
        </w:rPr>
        <w:t xml:space="preserve">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5"/>
        <w:ind w:left="0" w:firstLine="720"/>
        <w:jc w:val="center"/>
        <w:spacing w:line="238" w:lineRule="exact"/>
        <w:suppressLineNumbers w:val="0"/>
      </w:pPr>
      <w:r>
        <w:t xml:space="preserve">«</w:t>
      </w:r>
      <w:r>
        <w:rPr>
          <w:b/>
          <w:bCs/>
        </w:rPr>
        <w:t xml:space="preserve">1.1. Оценка </w:t>
      </w:r>
      <w:r>
        <w:rPr>
          <w:b/>
          <w:bCs/>
          <w:sz w:val="28"/>
          <w:szCs w:val="28"/>
        </w:rPr>
        <w:t xml:space="preserve">текущего состояния сферы реализации программы</w:t>
      </w:r>
      <w:r/>
    </w:p>
    <w:p>
      <w:pPr>
        <w:pStyle w:val="1005"/>
        <w:ind w:left="0" w:firstLine="720"/>
        <w:jc w:val="both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5"/>
        <w:ind w:left="0" w:firstLine="720"/>
        <w:jc w:val="both"/>
        <w:rPr>
          <w:highlight w:val="none"/>
        </w:rPr>
        <w:suppressLineNumbers w:val="0"/>
      </w:pPr>
      <w:r>
        <w:t xml:space="preserve">Реализация муниципальной программы направлена на достижение цели Плана мероприятий по реализации Страт</w:t>
      </w:r>
      <w:r>
        <w:t xml:space="preserve">е</w:t>
      </w:r>
      <w:r>
        <w:t xml:space="preserve">гии социально-экономического развития муниципального образования город Пермь до 2030 года на период 2022-2026 г</w:t>
      </w:r>
      <w:r>
        <w:t xml:space="preserve">о</w:t>
      </w:r>
      <w:r>
        <w:t xml:space="preserve">дов, утвержденного решением Пермской городской Думы от 26 октября 2021 г. № 232.</w:t>
      </w:r>
      <w:r>
        <w:rPr>
          <w:highlight w:val="none"/>
        </w:rPr>
      </w:r>
      <w:r>
        <w:rPr>
          <w:highlight w:val="none"/>
        </w:rPr>
      </w:r>
    </w:p>
    <w:p>
      <w:pPr>
        <w:pStyle w:val="1005"/>
        <w:ind w:left="0" w:firstLine="720"/>
        <w:jc w:val="both"/>
        <w:suppressLineNumbers w:val="0"/>
      </w:pPr>
      <w:r>
        <w:t xml:space="preserve">Текущее состояние отрасли.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Оборот крупных и средних организаций в 2025 году составил 778 750,4 млн. руб., или 105,0 % к уровню предыдущего года.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Объем отгруженных товаров собственного производства, выполненных работ и услуг в 2025 году составил </w:t>
        <w:br/>
        <w:t xml:space="preserve">1 061 328,9 млн. руб., или 105,4 % к уровню 2024 года.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Среднемесячная номинальная начисленная заработная плата работников крупных и средних организаций города </w:t>
        <w:br/>
        <w:t xml:space="preserve">за январь-декабрь 2025 года составила 99 520,2 руб., или 113,0 % к уровню предыдущего года.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Объем инвестиций в основной капитал в 2025 году за счет всех источников финансирования по городу Перми сост</w:t>
      </w:r>
      <w:r>
        <w:t xml:space="preserve">а</w:t>
      </w:r>
      <w:r>
        <w:t xml:space="preserve">вил 345,0 млрд. руб. или 2,7 % к уровню предыдущего года.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По объему инвестиций в основной капитал на душу населения по итогам 2025 года город Пермь находится на 2 месте среди </w:t>
      </w:r>
      <w:r>
        <w:t xml:space="preserve">городов-миллионников</w:t>
      </w:r>
      <w:r>
        <w:t xml:space="preserve"> (в 2024 году – 2 место, в 2023 году – 4 место).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Содействие развитию промышленного потенциала и реализации кластерной политики обеспечивается за счет стим</w:t>
      </w:r>
      <w:r>
        <w:t xml:space="preserve">у</w:t>
      </w:r>
      <w:r>
        <w:t xml:space="preserve">лирования внедрения передовых управленческих, организационных и технологических решений для повышения произв</w:t>
      </w:r>
      <w:r>
        <w:t xml:space="preserve">о</w:t>
      </w:r>
      <w:r>
        <w:t xml:space="preserve">дительности труда и содействия в расширении кооперационных связей крупных и малых предприятий.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В целях поддержки промышленных предприятий города и повышения производительности труда оказывается по</w:t>
      </w:r>
      <w:r>
        <w:t xml:space="preserve">д</w:t>
      </w:r>
      <w:r>
        <w:t xml:space="preserve">держка при подготовке кадров, направленная на обучение управленческого звена предприятий, путем предоставления су</w:t>
      </w:r>
      <w:r>
        <w:t xml:space="preserve">б</w:t>
      </w:r>
      <w:r>
        <w:t xml:space="preserve">сидии некоммерческим организациям, не являющимся государственными (муниципальными) учреждениями, связанной </w:t>
        <w:br/>
        <w:t xml:space="preserve">с оказанием информационно-консультационной поддержки местным товаропроизводителям в виде организации и провед</w:t>
      </w:r>
      <w:r>
        <w:t xml:space="preserve">е</w:t>
      </w:r>
      <w:r>
        <w:t xml:space="preserve">ния конференций, осуществляется информационно-методологическое сопровождение участия крупных и средних пре</w:t>
      </w:r>
      <w:r>
        <w:t xml:space="preserve">д</w:t>
      </w:r>
      <w:r>
        <w:t xml:space="preserve">приятий базовых </w:t>
      </w:r>
      <w:r>
        <w:t xml:space="preserve">несырьевых</w:t>
      </w:r>
      <w:r>
        <w:t xml:space="preserve"> отраслей экономики города Перми в национальном</w:t>
      </w:r>
      <w:r>
        <w:t xml:space="preserve"> </w:t>
      </w:r>
      <w:r>
        <w:t xml:space="preserve">проекте</w:t>
      </w:r>
      <w:r>
        <w:t xml:space="preserve"> «Производительность труда», оказывается информационная поддержка субъектам малого и среднего бизнеса по вопросам участия в промышленной ко</w:t>
      </w:r>
      <w:r>
        <w:t xml:space="preserve">о</w:t>
      </w:r>
      <w:r>
        <w:t xml:space="preserve">перации и взаимодействия с представителями крупных промышленных предприятий в сфере производства, содействие </w:t>
        <w:br/>
        <w:t xml:space="preserve">в вовлечении предприятий (организаций) в промышленную кооперацию.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Формирование благоприятной инвестиционной среды осуществляется посредством продвижения Перми в качестве территории для инвестиций, содействия развитию </w:t>
      </w:r>
      <w:r>
        <w:t xml:space="preserve">муниципально-частного</w:t>
      </w:r>
      <w:r>
        <w:t xml:space="preserve"> партнерства и развитию туристического поте</w:t>
      </w:r>
      <w:r>
        <w:t xml:space="preserve">н</w:t>
      </w:r>
      <w:r>
        <w:t xml:space="preserve">циала города.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При реализации муниципальной политики в части развития экономики на территории города Перми реализуются пр</w:t>
      </w:r>
      <w:r>
        <w:t xml:space="preserve">и</w:t>
      </w:r>
      <w:r>
        <w:t xml:space="preserve">оритетные инвестиционные проекты с целью повышения инвестиционного потенциала города Перми в рамках действу</w:t>
      </w:r>
      <w:r>
        <w:t xml:space="preserve">ю</w:t>
      </w:r>
      <w:r>
        <w:t xml:space="preserve">щего законодательства.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Продвижение Перми реализуется путем организации мероприятий, направленных на создание благоприятного инв</w:t>
      </w:r>
      <w:r>
        <w:t xml:space="preserve">е</w:t>
      </w:r>
      <w:r>
        <w:t xml:space="preserve">стиционного климата для реализации проектов и привлечения инвестиций в город Пермь, а также совместной работы </w:t>
        <w:br/>
        <w:t xml:space="preserve">с Агентством инвестиционного развития Пермского края и ведущими российскими некоммерческими организациями в о</w:t>
      </w:r>
      <w:r>
        <w:t xml:space="preserve">б</w:t>
      </w:r>
      <w:r>
        <w:t xml:space="preserve">ласти </w:t>
      </w:r>
      <w:r>
        <w:t xml:space="preserve">муниципально-частного</w:t>
      </w:r>
      <w:r>
        <w:t xml:space="preserve"> партнерства.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В рамках содействия в развитии </w:t>
      </w:r>
      <w:r>
        <w:t xml:space="preserve">муниципально-частного</w:t>
      </w:r>
      <w:r>
        <w:t xml:space="preserve"> партнерства формируются максимально прозрачные мех</w:t>
      </w:r>
      <w:r>
        <w:t xml:space="preserve">а</w:t>
      </w:r>
      <w:r>
        <w:t xml:space="preserve">низмы привлечения частных инвесторов путем публикации перечня объектов, готовых к реализации, а также сопровожд</w:t>
      </w:r>
      <w:r>
        <w:t xml:space="preserve">е</w:t>
      </w:r>
      <w:r>
        <w:t xml:space="preserve">ния реализации проектов по принципу «одного окна».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Создание условий для развития малого и среднего предпринимательства осуществляется за счет развития инфрастру</w:t>
      </w:r>
      <w:r>
        <w:t xml:space="preserve">к</w:t>
      </w:r>
      <w:r>
        <w:t xml:space="preserve">туры для поддержки малого и среднего предпринимательства и популяризации предпринимательства. По состоянию на 10 января 2026 г. количество субъектов малого и среднего предпринимательства (далее – СМСП) составляет 63 371 ед. Мех</w:t>
      </w:r>
      <w:r>
        <w:t xml:space="preserve">а</w:t>
      </w:r>
      <w:r>
        <w:t xml:space="preserve">низмами реализации данных задач являются информационная, консультативная, имущественная и финансовая поддержка предпринимателей.</w:t>
      </w:r>
      <w:r/>
    </w:p>
    <w:p>
      <w:pPr>
        <w:pStyle w:val="1005"/>
        <w:ind w:left="0" w:firstLine="720"/>
        <w:jc w:val="both"/>
        <w:suppressLineNumbers w:val="0"/>
      </w:pPr>
      <w:r>
        <w:t xml:space="preserve">В соответствии с Федеральным законом от 24 июля 2007 г. № 209-ФЗ «О развитии малого и среднего предприним</w:t>
      </w:r>
      <w:r>
        <w:t xml:space="preserve">а</w:t>
      </w:r>
      <w:r>
        <w:t xml:space="preserve">тельства в Российской Федерации» реализуются </w:t>
      </w:r>
      <w:r>
        <w:rPr>
          <w:szCs w:val="24"/>
        </w:rPr>
        <w:t xml:space="preserve">мероприятия по стимулированию малого и среднего предпринимательс</w:t>
      </w:r>
      <w:r>
        <w:rPr>
          <w:szCs w:val="24"/>
        </w:rPr>
        <w:t xml:space="preserve">т</w:t>
      </w:r>
      <w:r>
        <w:rPr>
          <w:szCs w:val="24"/>
        </w:rPr>
        <w:t xml:space="preserve">ва. </w:t>
      </w:r>
      <w:r>
        <w:rPr>
          <w:color w:val="000000"/>
          <w:szCs w:val="24"/>
        </w:rPr>
        <w:t xml:space="preserve">На базе муниципального казенного учреждения (далее – МКУ) «Пермский бизнес-инкубатор» проводятся мероприятия, направленные на поддержку малого и среднего предпринимательства, в том числе совместно с </w:t>
      </w:r>
      <w:r>
        <w:rPr>
          <w:rStyle w:val="1068"/>
          <w:b w:val="0"/>
          <w:color w:val="000000"/>
          <w:szCs w:val="24"/>
        </w:rPr>
        <w:t xml:space="preserve">Министерством экономического развития и инвестиций Пермского края</w:t>
      </w:r>
      <w:r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Фондом содействия инновациям, Пермским фондом развития предпринимательства.</w:t>
      </w:r>
      <w:r/>
    </w:p>
    <w:p>
      <w:pPr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white"/>
          <w:shd w:val="clear" w:color="auto" w:fill="ffff00"/>
        </w:rPr>
      </w:pPr>
      <w:r>
        <w:rPr>
          <w:sz w:val="28"/>
          <w:szCs w:val="28"/>
          <w:highlight w:val="white"/>
          <w:shd w:val="clear" w:color="auto" w:fill="ffff00"/>
        </w:rPr>
        <w:t xml:space="preserve">С целью оказания консультационной, информационной, образовательной  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и имущественной поддержки пермским предпринимателям на территории города Перми </w:t>
      </w:r>
      <w:r>
        <w:rPr>
          <w:sz w:val="28"/>
          <w:szCs w:val="28"/>
          <w:highlight w:val="white"/>
          <w:shd w:val="clear" w:color="auto" w:fill="ffff00"/>
        </w:rPr>
        <w:t xml:space="preserve">действует МКУ «Пермский бизнес-инкубатор». С учетом оказываемой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auto" w:fill="ffff00"/>
        </w:rPr>
        <w:t xml:space="preserve">подд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ержки учреждением изменилось и качество резидентов МКУ «Пермский бизнес-инкубатор». В 2025 году для получ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е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ния статуса «Резидента МКУ «Пермский бизнес-инкубатор» в </w:t>
      </w:r>
      <w:r>
        <w:rPr>
          <w:sz w:val="28"/>
          <w:szCs w:val="28"/>
          <w:highlight w:val="white"/>
          <w:shd w:val="clear" w:color="auto" w:fill="ffff00"/>
        </w:rPr>
        <w:t xml:space="preserve">учреждение активно обращаются предприниматели, занятые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auto" w:fill="ffff00"/>
        </w:rPr>
        <w:t xml:space="preserve">в </w:t>
      </w:r>
      <w:r>
        <w:rPr>
          <w:sz w:val="28"/>
          <w:szCs w:val="28"/>
          <w:highlight w:val="white"/>
          <w:shd w:val="clear" w:color="auto" w:fill="ffff00"/>
        </w:rPr>
        <w:t xml:space="preserve">технологической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 и </w:t>
      </w:r>
      <w:r>
        <w:rPr>
          <w:sz w:val="28"/>
          <w:szCs w:val="28"/>
          <w:highlight w:val="white"/>
          <w:shd w:val="clear" w:color="auto" w:fill="ffff00"/>
        </w:rPr>
        <w:t xml:space="preserve">креативной</w:t>
      </w:r>
      <w:r>
        <w:rPr>
          <w:sz w:val="28"/>
          <w:szCs w:val="28"/>
          <w:highlight w:val="white"/>
          <w:shd w:val="clear" w:color="auto" w:fill="ffff00"/>
        </w:rPr>
        <w:t xml:space="preserve"> сферах.</w:t>
      </w:r>
      <w:r>
        <w:rPr>
          <w:sz w:val="28"/>
          <w:szCs w:val="28"/>
          <w:highlight w:val="white"/>
          <w:shd w:val="clear" w:color="auto" w:fill="ffff00"/>
        </w:rPr>
      </w:r>
      <w:r>
        <w:rPr>
          <w:sz w:val="28"/>
          <w:szCs w:val="28"/>
          <w:highlight w:val="white"/>
          <w:shd w:val="clear" w:color="auto" w:fill="ffff00"/>
        </w:rPr>
      </w:r>
    </w:p>
    <w:p>
      <w:pPr>
        <w:ind w:firstLine="709"/>
        <w:jc w:val="both"/>
        <w:shd w:val="clear" w:color="auto" w:fill="ffffff" w:themeFill="background1"/>
        <w:rPr>
          <w:sz w:val="28"/>
          <w:szCs w:val="28"/>
          <w:highlight w:val="white"/>
          <w:shd w:val="clear" w:color="auto" w:fill="ffff00"/>
        </w:rPr>
      </w:pPr>
      <w:r>
        <w:rPr>
          <w:sz w:val="28"/>
          <w:szCs w:val="28"/>
          <w:highlight w:val="white"/>
          <w:shd w:val="clear" w:color="auto" w:fill="ffff00"/>
        </w:rPr>
        <w:t xml:space="preserve">Для технологических предпринимателей доступен инструмент </w:t>
      </w:r>
      <w:r>
        <w:rPr>
          <w:sz w:val="28"/>
          <w:szCs w:val="28"/>
          <w:highlight w:val="white"/>
          <w:shd w:val="clear" w:color="auto" w:fill="ffff00"/>
        </w:rPr>
        <w:t xml:space="preserve">трекинга</w:t>
      </w:r>
      <w:r>
        <w:rPr>
          <w:sz w:val="28"/>
          <w:szCs w:val="28"/>
          <w:highlight w:val="white"/>
          <w:shd w:val="clear" w:color="auto" w:fill="ffff00"/>
        </w:rPr>
        <w:t xml:space="preserve">, к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оторый позволяет определить целевые сегменты, проверить гипотезы, касающиеся продукта, и быстрее совершать первые продажи. Кроме того, резиденты Пер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м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ского 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бизнес-инкубатора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 получают доступ к сообществу и инфраструктуре технопарка </w:t>
      </w:r>
      <w:r>
        <w:rPr>
          <w:sz w:val="28"/>
          <w:szCs w:val="28"/>
          <w:highlight w:val="white"/>
          <w:shd w:val="clear" w:color="auto" w:fill="ffffff" w:themeFill="background1"/>
          <w:lang w:val="en-US"/>
        </w:rPr>
        <w:t xml:space="preserve">Morion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auto" w:fill="ffffff" w:themeFill="background1"/>
          <w:lang w:val="en-US"/>
        </w:rPr>
        <w:t xml:space="preserve">Digital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 –</w:t>
      </w:r>
      <w:r>
        <w:rPr>
          <w:sz w:val="28"/>
          <w:szCs w:val="28"/>
          <w:highlight w:val="white"/>
          <w:shd w:val="clear" w:color="auto" w:fill="ffff00"/>
        </w:rPr>
        <w:t xml:space="preserve"> локации, на те</w:t>
      </w:r>
      <w:r>
        <w:rPr>
          <w:sz w:val="28"/>
          <w:szCs w:val="28"/>
          <w:highlight w:val="white"/>
          <w:shd w:val="clear" w:color="auto" w:fill="ffff00"/>
        </w:rPr>
        <w:t xml:space="preserve">р</w:t>
      </w:r>
      <w:r>
        <w:rPr>
          <w:sz w:val="28"/>
          <w:szCs w:val="28"/>
          <w:highlight w:val="white"/>
          <w:shd w:val="clear" w:color="auto" w:fill="ffff00"/>
        </w:rPr>
        <w:t xml:space="preserve">ритории которой расположен бизнес-инкубатор. Так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же МКУ «Пермский бизнес-инкубатор» привлекает резидентов техн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о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парка в качестве менторов и экспертов для своих резидентов. Резидентам доступны не только пространства для работы (рабочие места в 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коворкинге</w:t>
      </w:r>
      <w:r>
        <w:rPr>
          <w:sz w:val="28"/>
          <w:szCs w:val="28"/>
          <w:highlight w:val="white"/>
          <w:shd w:val="clear" w:color="auto" w:fill="ffffff" w:themeFill="background1"/>
        </w:rPr>
        <w:t xml:space="preserve"> и офисы), но и пространства для мероприятий (переговорные </w:t>
      </w:r>
      <w:r>
        <w:rPr>
          <w:sz w:val="28"/>
          <w:szCs w:val="28"/>
          <w:highlight w:val="white"/>
          <w:shd w:val="clear" w:color="auto" w:fill="ffff00"/>
        </w:rPr>
        <w:t xml:space="preserve">комнаты и лекторий) для пров</w:t>
      </w:r>
      <w:r>
        <w:rPr>
          <w:sz w:val="28"/>
          <w:szCs w:val="28"/>
          <w:highlight w:val="white"/>
          <w:shd w:val="clear" w:color="auto" w:fill="ffff00"/>
        </w:rPr>
        <w:t xml:space="preserve">е</w:t>
      </w:r>
      <w:r>
        <w:rPr>
          <w:sz w:val="28"/>
          <w:szCs w:val="28"/>
          <w:highlight w:val="white"/>
          <w:shd w:val="clear" w:color="auto" w:fill="ffff00"/>
        </w:rPr>
        <w:t xml:space="preserve">дения собственных встреч и маркетинговых активностей.</w:t>
      </w:r>
      <w:r>
        <w:rPr>
          <w:sz w:val="28"/>
          <w:szCs w:val="28"/>
          <w:highlight w:val="white"/>
          <w:shd w:val="clear" w:color="auto" w:fill="ffff00"/>
        </w:rPr>
      </w:r>
      <w:r>
        <w:rPr>
          <w:sz w:val="28"/>
          <w:szCs w:val="28"/>
          <w:highlight w:val="white"/>
          <w:shd w:val="clear" w:color="auto" w:fill="ffff00"/>
        </w:rPr>
      </w:r>
    </w:p>
    <w:p>
      <w:pPr>
        <w:ind w:firstLine="709"/>
        <w:jc w:val="both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00"/>
        </w:rPr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Для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креативных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 предпринимателей города в июле открылась новая площадка МКУ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«Пермский бизнес-инкубатор» </w:t>
        <w:br/>
        <w:t xml:space="preserve">на ул. М. Горького, 27. Там пермские предприниматели могут воспользоваться офисными помещениями для создания </w:t>
        <w:br/>
        <w:t xml:space="preserve">и пр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о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изводства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креативной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продукции, проводить мероприятия по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креативной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тематике, развитию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креативного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бизнеса, орган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и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зовывать и проводить мастер-классы. Кроме того, для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креативных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предпринимателей вне зависимости от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резидентства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доступна услуга по популяризации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креативной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продукции, которая предполагает размещение их продукции не только на территории МКУ «Пермский бизнес-инкубатор</w:t>
      </w:r>
      <w:r>
        <w:rPr>
          <w:rFonts w:ascii="Tempora LGC Uni" w:hAnsi="Tempora LGC Uni" w:eastAsia="Calibri"/>
          <w:color w:val="000000"/>
          <w:sz w:val="28"/>
          <w:szCs w:val="28"/>
          <w:highlight w:val="white"/>
          <w:shd w:val="clear" w:color="auto" w:fill="ffffff" w:themeFill="background1"/>
        </w:rPr>
        <w:t xml:space="preserve">»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, где ее можно приобрести, но и в других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местах города с высокой прох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о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димостью.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5"/>
        <w:ind w:firstLine="720"/>
        <w:jc w:val="both"/>
        <w:suppressLineNumbers w:val="0"/>
      </w:pPr>
      <w:r>
        <w:t xml:space="preserve">В целях популяризации предпринимательства осуществляется информационная кампания, а также выявление спосо</w:t>
      </w:r>
      <w:r>
        <w:t xml:space="preserve">б</w:t>
      </w:r>
      <w:r>
        <w:t xml:space="preserve">ностей и мотивации к созданию собственного бизнеса у людей, имеющих предпринимательский потенциал.</w:t>
      </w:r>
      <w:r>
        <w:rPr>
          <w:sz w:val="24"/>
          <w:szCs w:val="20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Для субъектов малого и среднего предпринимательства города Перми</w:t>
      </w:r>
      <w:r>
        <w:t xml:space="preserve"> проводятся семинары по программам Фонда развития инноваций, реализующим программы инновационного развития, направленные на создание новых и развитие действующих высокотехнологичных компаний и коммерциализацию результатов научно-технической деятельности. С</w:t>
      </w:r>
      <w:r>
        <w:t xml:space="preserve">о</w:t>
      </w:r>
      <w:r>
        <w:t xml:space="preserve">гласно информации, представленной Фондом содействия инновациям, в 2025 году Пермский край занял пятое место по количеству поданных заявок к участию в программе «Студенческий </w:t>
      </w:r>
      <w:r>
        <w:t xml:space="preserve">стартап»</w:t>
      </w:r>
      <w:r>
        <w:t xml:space="preserve">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В течение года организуются образовательные мероприятия для субъектов малого и среднего предпринимательства </w:t>
        <w:br/>
        <w:t xml:space="preserve">в форме </w:t>
      </w:r>
      <w:r>
        <w:t xml:space="preserve">вебинаров</w:t>
      </w:r>
      <w:r>
        <w:t xml:space="preserve">, </w:t>
      </w:r>
      <w:r>
        <w:t xml:space="preserve">бизнес-игр</w:t>
      </w:r>
      <w:r>
        <w:t xml:space="preserve">, круглых столов, дискуссий от экспертов и </w:t>
      </w:r>
      <w:r>
        <w:t xml:space="preserve">топовых</w:t>
      </w:r>
      <w:r>
        <w:t xml:space="preserve"> спикеров, обучающих мероприятий. Спикерами на мероприятиях выступают успешные предприниматели, </w:t>
      </w:r>
      <w:r>
        <w:t xml:space="preserve">блогеры</w:t>
      </w:r>
      <w:r>
        <w:t xml:space="preserve">, представители власти федерального и краевого уровней.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В соответствии с решением Пермской городской Думы от 16 декабря 2025 г. № 242 «О внесении изменений в Полож</w:t>
      </w:r>
      <w:r>
        <w:t xml:space="preserve">е</w:t>
      </w:r>
      <w:r>
        <w:t xml:space="preserve">ние о земельном налоге на территории города Перми, утвержденное решением Пермской городской Думы от 08.11.2005 № 187» освобождаются от налогообложения в отношении одного земельного участка организации, осуществляющие деятел</w:t>
      </w:r>
      <w:r>
        <w:t xml:space="preserve">ь</w:t>
      </w:r>
      <w:r>
        <w:t xml:space="preserve">ность по организации конференций и выставок, за налоговые периоды 2025, 2026 и 2027 годов, не</w:t>
      </w:r>
      <w:r>
        <w:t xml:space="preserve"> применяется </w:t>
        <w:br/>
        <w:t xml:space="preserve">с 01 января 2028 г.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Потребительский рынок города Перми хар</w:t>
      </w:r>
      <w:r>
        <w:t xml:space="preserve">а</w:t>
      </w:r>
      <w:r>
        <w:t xml:space="preserve">ктеризуется стабильностью, высокой предпринимательской активностью, устойчивой динамикой развития. К положительным тенденциям относится открытие предприятий современного формата </w:t>
        <w:br/>
        <w:t xml:space="preserve">с широким выбором товаров и услуг и максимальными удобствами для покупателей.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Развитие потребительского рынка осуществляется путем развития общедоступной сети предприятий общественного питания, включая сеть быстрого питания, повышения социальной ориентации торговли, а также повышения привлекател</w:t>
      </w:r>
      <w:r>
        <w:t xml:space="preserve">ь</w:t>
      </w:r>
      <w:r>
        <w:t xml:space="preserve">ности торговой деятельности в удаленных районах города, содействия в развитии продаж фермерской продукции, пров</w:t>
      </w:r>
      <w:r>
        <w:t xml:space="preserve">е</w:t>
      </w:r>
      <w:r>
        <w:t xml:space="preserve">дения ярмарок и создания условий для обеспечения жителей города Перми услугами торговли, общественного питания, бытового обслуживания.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настоящее время потребительский рынок города Перми – это более 10,8 тыс. объектов потребительского рынка, включающий предприятия торговли, общественного питания и бытового обслуживания населения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По состоянию на 01 января 2026 г. сеть потребительского рынка города Перми представлена: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стационарной торговой сетью – 4 958,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нестационарной торговой сетью – 1344,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рынками</w:t>
      </w:r>
      <w:r>
        <w:rPr>
          <w:sz w:val="28"/>
          <w:szCs w:val="28"/>
        </w:rPr>
        <w:t xml:space="preserve"> – 2,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общественным питанием – 2 010,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бытовым обслуживанием – 3 370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За последнее время в городе открылись предп</w:t>
      </w:r>
      <w:r>
        <w:rPr>
          <w:sz w:val="28"/>
          <w:szCs w:val="28"/>
        </w:rPr>
        <w:t xml:space="preserve">риятия потребительского рынка более высокого уровня комфортности, отвечающие современным требованиям архитектурных, дизайнерских решений, с применением высокотехнологичного оборудования, с широким выбором товаров и максимальными удобствами для покупателей.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suppressLineNumbers w:val="0"/>
      </w:pPr>
      <w:r>
        <w:rPr>
          <w:sz w:val="28"/>
          <w:szCs w:val="28"/>
        </w:rPr>
      </w:r>
      <w:r>
        <w:t xml:space="preserve">На сегодняшний день фактическое количество стационарных торговых объектов в 1,5 раза превышает норматив м</w:t>
      </w:r>
      <w:r>
        <w:t xml:space="preserve">и</w:t>
      </w:r>
      <w:r>
        <w:t xml:space="preserve">нимальной обеспеченности населения площадью (количеством) стационарных торговых объектов, установленный по г</w:t>
      </w:r>
      <w:r>
        <w:t xml:space="preserve">о</w:t>
      </w:r>
      <w:r>
        <w:t xml:space="preserve">роду Перми (норматив – 2 986 ед.).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Помимо увеличения количества новых торговых объектов, необходимо отметить рост уровня их комфортности, отв</w:t>
      </w:r>
      <w:r>
        <w:t xml:space="preserve">е</w:t>
      </w:r>
      <w:r>
        <w:t xml:space="preserve">чающий современным требованиям архитектурных, дизайнерских решений, с применением высокотехнологичного обор</w:t>
      </w:r>
      <w:r>
        <w:t xml:space="preserve">у</w:t>
      </w:r>
      <w:r>
        <w:t xml:space="preserve">дования, с широким выбором товаров и максимальными удобствами для покупателей.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Начиная с февраля 2022 года, российский рынок пережил массовый уход западных брендов. Из-за изменения геопол</w:t>
      </w:r>
      <w:r>
        <w:t xml:space="preserve">и</w:t>
      </w:r>
      <w:r>
        <w:t xml:space="preserve">тической обстановки Россию покинули около 600 западных фирм. Начало специальной военной операции в феврале 2022 года радикально поменяло ситуацию на российском рынке, лишив часть отечественных предпринимателей западных кл</w:t>
      </w:r>
      <w:r>
        <w:t xml:space="preserve">и</w:t>
      </w:r>
      <w:r>
        <w:t xml:space="preserve">ентов и поставщиков. В сложившейся ситуации на российский рынок стали заходить компании из Ирана, Китая, Казахст</w:t>
      </w:r>
      <w:r>
        <w:t xml:space="preserve">а</w:t>
      </w:r>
      <w:r>
        <w:t xml:space="preserve">на, Белоруссии, Южной Кореи, ОАЭ, Турции, Индии.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Вместе с тем, стоит отметить рост количества пунктов выдачи заказов на территории города, что обуславливается цифровой трансформацией экономики. Обеспечение населения доступом в Интернет способствовало в последние годы а</w:t>
      </w:r>
      <w:r>
        <w:t xml:space="preserve">к</w:t>
      </w:r>
      <w:r>
        <w:t xml:space="preserve">тивному развитию дистанционной или электронной торговли, которая стала нов</w:t>
      </w:r>
      <w:r>
        <w:t xml:space="preserve">ым торговым форматом, повышающим доступность товаров для населения. В настоящее время электронная торговля является одним из самых востребованных торговых форматов без существенных административных барьеров, которые жестко регулировали бы организацию и вед</w:t>
      </w:r>
      <w:r>
        <w:t xml:space="preserve">е</w:t>
      </w:r>
      <w:r>
        <w:t xml:space="preserve">ние электронной торговли.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Сфера общественного питания играет все возрастающую роль в жизни современного общества и каждого человека. Для города Перми – это динамично развивающаяся сфера, ежегодно растет количество предприятий общественного пит</w:t>
      </w:r>
      <w:r>
        <w:t xml:space="preserve">а</w:t>
      </w:r>
      <w:r>
        <w:t xml:space="preserve">ния на территории города, уровень обслуживания, разнообразие типов предприятий, ежегодно дополняя их перечень н</w:t>
      </w:r>
      <w:r>
        <w:t xml:space="preserve">о</w:t>
      </w:r>
      <w:r>
        <w:t xml:space="preserve">выми объектами.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По итогам 202</w:t>
      </w:r>
      <w:r>
        <w:t xml:space="preserve">5</w:t>
      </w:r>
      <w:r>
        <w:t xml:space="preserve"> года оборот розничной торговли составил 2</w:t>
      </w:r>
      <w:r>
        <w:t xml:space="preserve">9</w:t>
      </w:r>
      <w:r>
        <w:t xml:space="preserve">5,</w:t>
      </w:r>
      <w:r>
        <w:t xml:space="preserve">3</w:t>
      </w:r>
      <w:r>
        <w:t xml:space="preserve"> млрд. руб., что на </w:t>
      </w:r>
      <w:r>
        <w:t xml:space="preserve">11</w:t>
      </w:r>
      <w:r>
        <w:t xml:space="preserve">,</w:t>
      </w:r>
      <w:r>
        <w:t xml:space="preserve">1 </w:t>
      </w:r>
      <w:r>
        <w:t xml:space="preserve">% выше уровня 202</w:t>
      </w:r>
      <w:r>
        <w:t xml:space="preserve">4</w:t>
      </w:r>
      <w:r>
        <w:t xml:space="preserve"> года.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Оборот общественного питания в 202</w:t>
      </w:r>
      <w:r>
        <w:t xml:space="preserve">5</w:t>
      </w:r>
      <w:r>
        <w:t xml:space="preserve"> году составил </w:t>
      </w:r>
      <w:r>
        <w:t xml:space="preserve">9 426</w:t>
      </w:r>
      <w:r>
        <w:t xml:space="preserve">,</w:t>
      </w:r>
      <w:r>
        <w:t xml:space="preserve">4</w:t>
      </w:r>
      <w:r>
        <w:t xml:space="preserve"> млн. руб., что на </w:t>
      </w:r>
      <w:r>
        <w:t xml:space="preserve">49,2 </w:t>
      </w:r>
      <w:r>
        <w:t xml:space="preserve">% выше уровня 202</w:t>
      </w:r>
      <w:r>
        <w:t xml:space="preserve">4</w:t>
      </w:r>
      <w:r>
        <w:t xml:space="preserve"> года.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сфере бытового обслуживания преобладают предприятия, которые достаточно мобильны и имеют возможность быс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 реагировать на изменения рынка, ориентироваться на индивидуальные запросы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20"/>
        <w:jc w:val="both"/>
        <w:suppressLineNumbers w:val="0"/>
      </w:pPr>
      <w:r>
        <w:rPr>
          <w:sz w:val="28"/>
          <w:szCs w:val="28"/>
        </w:rPr>
      </w:r>
      <w:r>
        <w:t xml:space="preserve">Создание условий для развития туризма является одной из приоритетных задач. </w:t>
      </w:r>
      <w:r>
        <w:t xml:space="preserve">Мероприятия по развитию туризма</w:t>
      </w:r>
      <w:r>
        <w:t xml:space="preserve"> реализуются с учетом стратегических предложений, разработанных Министерством по туризму Пермского края, и напра</w:t>
      </w:r>
      <w:r>
        <w:t xml:space="preserve">в</w:t>
      </w:r>
      <w:r>
        <w:t xml:space="preserve">лены на создание и развитие доступной и комфортной туристической инфраструктуры, формирование новых комплексных конкурентоспособных туристских продуктов города, продвижение туристического потенциала города на всероссийском </w:t>
        <w:br/>
        <w:t xml:space="preserve">и мировом уровнях.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В целях развития туризма и туристической деятельности на территории города Перми действует Координацио</w:t>
      </w:r>
      <w:r>
        <w:t xml:space="preserve">нный совет по туризму и туристской деятельности в городе Перми. В состав Координационного совета включены представители администрации города Перми, Министерства по туризму Пермского края, общественных организаций, предпринимателей, занятых в сфере туризма.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suppressLineNumbers w:val="0"/>
      </w:pPr>
      <w:r>
        <w:t xml:space="preserve">В рамках реализации направления «Развитие туризма и туристической деятельности на терр</w:t>
      </w:r>
      <w:r>
        <w:t xml:space="preserve">итории города Перми» предоставляются льготы по туристическому налогу отдельным категориям физических лиц (решение Пермской городской Думы от 22 октября 2024 г. № 175 «Об установлении и введении в действие туристического налога на территории города Перми»):</w:t>
      </w:r>
      <w:r>
        <w:rPr>
          <w:sz w:val="24"/>
          <w:szCs w:val="24"/>
        </w:rPr>
      </w:r>
      <w:r/>
    </w:p>
    <w:p>
      <w:pPr>
        <w:pStyle w:val="1005"/>
        <w:ind w:firstLine="720"/>
        <w:jc w:val="both"/>
        <w:rPr>
          <w:sz w:val="24"/>
          <w:szCs w:val="24"/>
        </w:rPr>
        <w:suppressLineNumbers w:val="0"/>
      </w:pPr>
      <w:r>
        <w:t xml:space="preserve">лицам, имеющим регистрацию по месту жительства или по месту пребывания на территории Пермского края;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лицам в возрасте до 18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 разделе «Паспорт комплекса процессных мероприятий 1 «Формирование благоприятной инвестиционной среды, развитие малого и среднего предпринимательства»: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.1. строку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87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1"/>
        <w:gridCol w:w="9019"/>
        <w:gridCol w:w="574"/>
        <w:gridCol w:w="839"/>
        <w:gridCol w:w="840"/>
        <w:gridCol w:w="839"/>
        <w:gridCol w:w="839"/>
        <w:gridCol w:w="84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019" w:type="dxa"/>
            <w:textDirection w:val="lrTb"/>
            <w:noWrap w:val="false"/>
          </w:tcPr>
          <w:p>
            <w:pPr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Объем инвестиций в основной капитал (за исключением бюджетных средств) в расч</w:t>
            </w:r>
            <w:r>
              <w:rPr>
                <w:color w:val="000000"/>
                <w:sz w:val="24"/>
              </w:rPr>
              <w:t xml:space="preserve">е</w:t>
            </w:r>
            <w:r>
              <w:rPr>
                <w:color w:val="000000"/>
                <w:sz w:val="24"/>
              </w:rPr>
              <w:t xml:space="preserve">те на 1 жителя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74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0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8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66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87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67"/>
        <w:gridCol w:w="9007"/>
        <w:gridCol w:w="575"/>
        <w:gridCol w:w="850"/>
        <w:gridCol w:w="851"/>
        <w:gridCol w:w="850"/>
        <w:gridCol w:w="850"/>
        <w:gridCol w:w="8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00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капиталовложений в основные фонды в расчете на 1 жителя (за исключением бюджетных средств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9" w:type="dxa"/>
            <w:textDirection w:val="lrTb"/>
            <w:noWrap w:val="false"/>
          </w:tcPr>
          <w:p>
            <w:pPr>
              <w:pStyle w:val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.2. строку «Объемы и источники финансового обеспечения комплекса процессных мероприятий» изложить в сл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4972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60"/>
        <w:gridCol w:w="1418"/>
        <w:gridCol w:w="1417"/>
        <w:gridCol w:w="1559"/>
        <w:gridCol w:w="1418"/>
        <w:gridCol w:w="1276"/>
        <w:gridCol w:w="1417"/>
      </w:tblGrid>
      <w:tr>
        <w:tblPrEx/>
        <w:trPr>
          <w:trHeight w:val="214"/>
        </w:trPr>
        <w:tc>
          <w:tcPr>
            <w:shd w:val="clear" w:color="auto" w:fill="auto"/>
            <w:tcW w:w="322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сового обеспечения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850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3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3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32 349,9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150 898,8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W w:w="3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32 349,9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150 898,8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разделе «Паспорт комплекса процессных мероприятий 2 «Развитие потребительского рынка и туризма»: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.1. строку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877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42"/>
        <w:gridCol w:w="8177"/>
        <w:gridCol w:w="1417"/>
        <w:gridCol w:w="839"/>
        <w:gridCol w:w="840"/>
        <w:gridCol w:w="839"/>
        <w:gridCol w:w="839"/>
        <w:gridCol w:w="84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7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размещенных лиц в коллективных средствах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чел.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341,8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66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87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426"/>
        <w:gridCol w:w="8221"/>
        <w:gridCol w:w="1361"/>
        <w:gridCol w:w="850"/>
        <w:gridCol w:w="851"/>
        <w:gridCol w:w="850"/>
        <w:gridCol w:w="850"/>
        <w:gridCol w:w="8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22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размещенных лиц в коллективных средствах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чел.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6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после строки: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3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1"/>
        <w:gridCol w:w="10303"/>
        <w:gridCol w:w="567"/>
        <w:gridCol w:w="567"/>
        <w:gridCol w:w="709"/>
        <w:gridCol w:w="567"/>
        <w:gridCol w:w="567"/>
        <w:gridCol w:w="5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304" w:type="dxa"/>
            <w:textDirection w:val="lrTb"/>
            <w:noWrap w:val="false"/>
          </w:tcPr>
          <w:p>
            <w:pPr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Количество некоммерческих организаций, осуществляющих образовательную деятельность в о</w:t>
            </w:r>
            <w:r>
              <w:rPr>
                <w:color w:val="000000"/>
                <w:sz w:val="24"/>
              </w:rPr>
              <w:t xml:space="preserve">б</w:t>
            </w:r>
            <w:r>
              <w:rPr>
                <w:color w:val="000000"/>
                <w:sz w:val="24"/>
              </w:rPr>
              <w:t xml:space="preserve">ласти торговли, общественного питания, пищевой промышленности, обслуживания населения, получивших скидку по арендной плате муниципального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строкой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3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41"/>
        <w:gridCol w:w="9453"/>
        <w:gridCol w:w="1417"/>
        <w:gridCol w:w="709"/>
        <w:gridCol w:w="567"/>
        <w:gridCol w:w="567"/>
        <w:gridCol w:w="567"/>
        <w:gridCol w:w="5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45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лиц, стоимость </w:t>
            </w:r>
            <w:r>
              <w:rPr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  <w:t xml:space="preserve"> по проживанию которых не включается в налоговую базу на основании пункта 3 статьи 418.4 Налогового кодекса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строку «Объемы и источники финансового обеспечения комплекса процессных мероприятий» изложить в 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12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60"/>
        <w:gridCol w:w="1418"/>
        <w:gridCol w:w="1417"/>
        <w:gridCol w:w="1559"/>
        <w:gridCol w:w="1418"/>
        <w:gridCol w:w="1276"/>
        <w:gridCol w:w="1433"/>
      </w:tblGrid>
      <w:tr>
        <w:tblPrEx/>
        <w:trPr>
          <w:trHeight w:val="214"/>
        </w:trPr>
        <w:tc>
          <w:tcPr>
            <w:shd w:val="clear" w:color="auto" w:fill="auto"/>
            <w:tcW w:w="322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сового обеспечения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852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32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32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30 926,2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25 372,0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113 620,1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W w:w="32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30 926,2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25 372,0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113 620,1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В разделе «Паспорт комплекса процессных мероприятий 3 </w:t>
      </w:r>
      <w:r>
        <w:rPr>
          <w:sz w:val="28"/>
        </w:rPr>
        <w:t xml:space="preserve">«Обеспечение деятельности департамента экономики </w:t>
      </w:r>
      <w:r>
        <w:rPr>
          <w:sz w:val="28"/>
        </w:rPr>
        <w:br/>
        <w:t xml:space="preserve">и промышленной политики администрации города Перми» строку «</w:t>
      </w:r>
      <w:r>
        <w:rPr>
          <w:sz w:val="28"/>
          <w:szCs w:val="28"/>
        </w:rPr>
        <w:t xml:space="preserve">Объемы и источники финансового обеспечения 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плекса процессных мероприятий</w:t>
      </w:r>
      <w:r>
        <w:rPr>
          <w:sz w:val="28"/>
        </w:rPr>
        <w:t xml:space="preserve">» изложить в следующей редакции:</w:t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Ind w:w="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0"/>
        <w:gridCol w:w="3451"/>
        <w:gridCol w:w="1418"/>
        <w:gridCol w:w="1417"/>
        <w:gridCol w:w="1559"/>
        <w:gridCol w:w="1418"/>
        <w:gridCol w:w="1276"/>
        <w:gridCol w:w="141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обеспечения комплекса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5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67 665,0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4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67 665,0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 В разделе «Перечень целевых показателей программы, показателей структурных элементов муниципальной </w:t>
      </w:r>
      <w:r>
        <w:rPr>
          <w:sz w:val="28"/>
        </w:rPr>
        <w:br/>
        <w:t xml:space="preserve">программы «Экономическое развитие города Перми»: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.1. строку 6 изложить в следующей редакции:</w:t>
      </w:r>
      <w:r>
        <w:rPr>
          <w:sz w:val="28"/>
        </w:rPr>
      </w:r>
      <w:r>
        <w:rPr>
          <w:sz w:val="28"/>
        </w:rPr>
      </w:r>
    </w:p>
    <w:tbl>
      <w:tblPr>
        <w:tblW w:w="1492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991"/>
        <w:gridCol w:w="1134"/>
        <w:gridCol w:w="992"/>
        <w:gridCol w:w="850"/>
        <w:gridCol w:w="850"/>
        <w:gridCol w:w="850"/>
        <w:gridCol w:w="992"/>
        <w:gridCol w:w="70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9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капиталовложений в основные фонды в расчете на 1 жителя (за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бюджетных средств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.2. </w:t>
      </w:r>
      <w:r>
        <w:rPr>
          <w:sz w:val="28"/>
          <w:szCs w:val="28"/>
        </w:rPr>
        <w:t xml:space="preserve">строку 15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2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991"/>
        <w:gridCol w:w="1134"/>
        <w:gridCol w:w="992"/>
        <w:gridCol w:w="850"/>
        <w:gridCol w:w="850"/>
        <w:gridCol w:w="850"/>
        <w:gridCol w:w="992"/>
        <w:gridCol w:w="70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90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размещенных лиц в коллективных средствах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.3. </w:t>
      </w:r>
      <w:r>
        <w:rPr>
          <w:sz w:val="28"/>
          <w:szCs w:val="28"/>
        </w:rPr>
        <w:t xml:space="preserve">дополнить строкой 20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2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9124"/>
        <w:gridCol w:w="1134"/>
        <w:gridCol w:w="992"/>
        <w:gridCol w:w="567"/>
        <w:gridCol w:w="709"/>
        <w:gridCol w:w="567"/>
        <w:gridCol w:w="710"/>
        <w:gridCol w:w="5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12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лиц, стоимость </w:t>
            </w:r>
            <w:r>
              <w:rPr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  <w:t xml:space="preserve"> по проживанию которых не включается в налоговую базу на основании пункта 3 статьи 418.4 Налогового кодекса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 В разделе «Финансовое обеспечение реализации муниципальной программы «Экономическое развитие города Перми»: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.1. </w:t>
      </w:r>
      <w:r>
        <w:rPr>
          <w:sz w:val="28"/>
          <w:szCs w:val="28"/>
        </w:rPr>
        <w:t xml:space="preserve">строку «Муниципальная программа «Экономическое развитие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9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957"/>
        <w:gridCol w:w="425"/>
        <w:gridCol w:w="2551"/>
        <w:gridCol w:w="1276"/>
        <w:gridCol w:w="1417"/>
        <w:gridCol w:w="1276"/>
        <w:gridCol w:w="1381"/>
        <w:gridCol w:w="1266"/>
        <w:gridCol w:w="1284"/>
      </w:tblGrid>
      <w:tr>
        <w:tblPrEx/>
        <w:trPr>
          <w:trHeight w:val="535"/>
        </w:trPr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395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Муниципальная программа «Экон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мическое развитие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126 099,5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125 386,9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120 383,8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38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6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607 872,1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W w:w="395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126 099,5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125 386,9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120 383,8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38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6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607 872,1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строку «Комплекс процессных мероприятий 1 «Формирование благоприятной инвестиционной среды, развитие малого и среднего предпринимательства»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9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65"/>
        <w:gridCol w:w="432"/>
        <w:gridCol w:w="1987"/>
        <w:gridCol w:w="1277"/>
        <w:gridCol w:w="1277"/>
        <w:gridCol w:w="1277"/>
        <w:gridCol w:w="1277"/>
        <w:gridCol w:w="1277"/>
        <w:gridCol w:w="1277"/>
      </w:tblGrid>
      <w:tr>
        <w:tblPrEx/>
        <w:trPr>
          <w:trHeight w:val="276"/>
        </w:trPr>
        <w:tc>
          <w:tcPr>
            <w:tcW w:w="486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благоприятной инвестиц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онной среды, развитие малого и среднего предпринимательства»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32 349,9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150 898,8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6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32 349,9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29 170,7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150 898,8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 строку «Направление расходов 1.2 «Мероприятия в сфере экономического развития города Перми» изложить </w:t>
      </w:r>
      <w:r>
        <w:rPr>
          <w:sz w:val="28"/>
          <w:szCs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90"/>
        <w:gridCol w:w="852"/>
        <w:gridCol w:w="2266"/>
        <w:gridCol w:w="1276"/>
        <w:gridCol w:w="1134"/>
        <w:gridCol w:w="992"/>
        <w:gridCol w:w="992"/>
        <w:gridCol w:w="992"/>
        <w:gridCol w:w="106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9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«Мероприятия </w:t>
            </w:r>
            <w:r>
              <w:rPr>
                <w:sz w:val="24"/>
                <w:szCs w:val="24"/>
              </w:rPr>
              <w:br/>
              <w:t xml:space="preserve">в сфере экономического развития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10 903,7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10 996,7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51 065,8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10 903,7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10 996,7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51 065,8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.4. строку «Направление расходов 1.3 «Обеспечение деятельности (оказание услуг, выполнение работ)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учреждений (организаций)»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7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850"/>
        <w:gridCol w:w="1701"/>
        <w:gridCol w:w="1417"/>
        <w:gridCol w:w="1134"/>
        <w:gridCol w:w="1134"/>
        <w:gridCol w:w="1134"/>
        <w:gridCol w:w="1134"/>
        <w:gridCol w:w="1087"/>
      </w:tblGrid>
      <w:tr>
        <w:tblPrEx/>
        <w:trPr/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286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«Обеспечение деятел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ности (оказание услуг, выполнение работ)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ципальных учреждений (организаций)»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20 703,0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18 949,1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98 583,5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28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20 703,0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18 949,1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98 583,5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.5. строку «Комплекс процессных мероприятий 2 «Развитие потребительского рынка и туризма» изложить в 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01"/>
        <w:gridCol w:w="564"/>
        <w:gridCol w:w="2421"/>
        <w:gridCol w:w="1276"/>
        <w:gridCol w:w="1276"/>
        <w:gridCol w:w="1276"/>
        <w:gridCol w:w="1276"/>
        <w:gridCol w:w="1275"/>
        <w:gridCol w:w="119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0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«Развитие потребительского рынка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туризма»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2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30 926,2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25 372,0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113 620,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2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30 926,2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25 372,0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113 620,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.6. строку «Направление расходов 2.1 «Мероприятия по созданию условий для обеспечения жителей городского о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руга услугами связи, общественного питания, торговли и бытового обслуживания населения» изложить в следующей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8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1276"/>
        <w:gridCol w:w="2646"/>
        <w:gridCol w:w="1275"/>
        <w:gridCol w:w="1276"/>
        <w:gridCol w:w="1276"/>
        <w:gridCol w:w="1276"/>
        <w:gridCol w:w="1275"/>
        <w:gridCol w:w="118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0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</w:t>
            </w:r>
            <w:r>
              <w:rPr>
                <w:sz w:val="24"/>
                <w:szCs w:val="24"/>
              </w:rPr>
              <w:t xml:space="preserve">«Мероприятия по созданию условий для обеспечения ж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телей городского округа усл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гами связи, общественного питания, торговли и бытового обслуживания населения»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25 487,6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14 269,8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83 257,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25 487,6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14 269,8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83 257,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20 783,9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16 269,9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12 844,9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11 483,8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72 866,3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20 783,9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16 269,9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12 844,9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11 483,8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72 866,3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4 703,7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1 412,9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10 391,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4 703,7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1 412,9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10 391,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.7. строку «Направление расходов 2.2 «Мероприятия в сфере туризма»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01"/>
        <w:gridCol w:w="997"/>
        <w:gridCol w:w="1988"/>
        <w:gridCol w:w="1276"/>
        <w:gridCol w:w="1287"/>
        <w:gridCol w:w="1277"/>
        <w:gridCol w:w="1277"/>
        <w:gridCol w:w="1262"/>
        <w:gridCol w:w="1176"/>
      </w:tblGrid>
      <w:tr>
        <w:tblPrEx/>
        <w:trPr>
          <w:trHeight w:val="276"/>
        </w:trPr>
        <w:tc>
          <w:tcPr>
            <w:tcW w:w="430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Направление расходов </w:t>
            </w:r>
            <w:r>
              <w:rPr>
                <w:sz w:val="24"/>
                <w:szCs w:val="24"/>
                <w:highlight w:val="white"/>
              </w:rPr>
              <w:t xml:space="preserve">2.2 «Меропри</w:t>
            </w:r>
            <w:r>
              <w:rPr>
                <w:sz w:val="24"/>
                <w:szCs w:val="24"/>
                <w:highlight w:val="white"/>
              </w:rPr>
              <w:t xml:space="preserve">я</w:t>
            </w:r>
            <w:r>
              <w:rPr>
                <w:sz w:val="24"/>
                <w:szCs w:val="24"/>
                <w:highlight w:val="white"/>
              </w:rPr>
              <w:t xml:space="preserve">тия в сфере туризма»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5 438,6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7 689,2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6 152,8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30 362,4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3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5 438,6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7 689,2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6 152,8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30 362,4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.8. строки «Комплекс процессных мероприятий 3 «Обеспечение деятельности департамента экономики и промы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ленной политики администрации города Перми», «Направление расходов 3.1 «Содержание муниципальных органов»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6"/>
        <w:gridCol w:w="851"/>
        <w:gridCol w:w="1985"/>
        <w:gridCol w:w="1275"/>
        <w:gridCol w:w="1276"/>
        <w:gridCol w:w="1276"/>
        <w:gridCol w:w="1276"/>
        <w:gridCol w:w="1275"/>
        <w:gridCol w:w="122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3 «Обеспечение деятельности департаме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та экономики и промышленной политики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67 665,0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67 665,0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3.1 «Содержание муниципальных органов»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67 665,0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/>
            <w:bookmarkStart w:id="0" w:name="_GoBack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63 316,7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67 665,0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343 353,2</w:t>
            </w:r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empora LGC Uni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8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1"/>
      </w:rPr>
      <w:framePr w:wrap="around" w:vAnchor="text" w:hAnchor="margin" w:xAlign="center" w:y="1"/>
    </w:pPr>
    <w:r>
      <w:rPr>
        <w:rStyle w:val="981"/>
      </w:rPr>
      <w:fldChar w:fldCharType="begin"/>
    </w:r>
    <w:r>
      <w:rPr>
        <w:rStyle w:val="981"/>
      </w:rPr>
      <w:instrText xml:space="preserve">PAGE  </w:instrText>
    </w:r>
    <w:r>
      <w:rPr>
        <w:rStyle w:val="981"/>
      </w:rPr>
      <w:fldChar w:fldCharType="end"/>
    </w:r>
    <w:r>
      <w:rPr>
        <w:rStyle w:val="981"/>
      </w:rPr>
    </w:r>
    <w:r>
      <w:rPr>
        <w:rStyle w:val="981"/>
      </w:rPr>
    </w:r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rPr>
      <w:lang w:eastAsia="ru-RU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paragraph" w:styleId="749" w:customStyle="1">
    <w:name w:val="Heading 1"/>
    <w:basedOn w:val="745"/>
    <w:next w:val="745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0" w:customStyle="1">
    <w:name w:val="Heading 2"/>
    <w:basedOn w:val="745"/>
    <w:next w:val="745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1" w:customStyle="1">
    <w:name w:val="Heading 3"/>
    <w:basedOn w:val="745"/>
    <w:next w:val="745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2" w:customStyle="1">
    <w:name w:val="Heading 4"/>
    <w:basedOn w:val="745"/>
    <w:next w:val="745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Heading 5"/>
    <w:basedOn w:val="745"/>
    <w:next w:val="745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 w:customStyle="1">
    <w:name w:val="Heading 6"/>
    <w:basedOn w:val="745"/>
    <w:next w:val="745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5" w:customStyle="1">
    <w:name w:val="Heading 7"/>
    <w:basedOn w:val="745"/>
    <w:next w:val="745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 w:customStyle="1">
    <w:name w:val="Heading 8"/>
    <w:basedOn w:val="745"/>
    <w:next w:val="745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7" w:customStyle="1">
    <w:name w:val="Heading 9"/>
    <w:basedOn w:val="745"/>
    <w:next w:val="745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8" w:customStyle="1">
    <w:name w:val="Header"/>
    <w:basedOn w:val="745"/>
    <w:link w:val="82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59" w:customStyle="1">
    <w:name w:val="Footer"/>
    <w:basedOn w:val="745"/>
    <w:link w:val="83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0" w:customStyle="1">
    <w:name w:val="Caption"/>
    <w:basedOn w:val="745"/>
    <w:next w:val="745"/>
    <w:link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1" w:customStyle="1">
    <w:name w:val="Заголовок 11"/>
    <w:basedOn w:val="745"/>
    <w:next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 w:customStyle="1">
    <w:name w:val="Заголовок 21"/>
    <w:basedOn w:val="745"/>
    <w:next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 w:customStyle="1">
    <w:name w:val="Заголовок 31"/>
    <w:basedOn w:val="745"/>
    <w:next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basedOn w:val="745"/>
    <w:next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 w:customStyle="1">
    <w:name w:val="Заголовок 51"/>
    <w:basedOn w:val="745"/>
    <w:next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 w:customStyle="1">
    <w:name w:val="Заголовок 61"/>
    <w:basedOn w:val="745"/>
    <w:next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Заголовок 71"/>
    <w:basedOn w:val="745"/>
    <w:next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 w:customStyle="1">
    <w:name w:val="Заголовок 81"/>
    <w:basedOn w:val="745"/>
    <w:next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Заголовок 91"/>
    <w:basedOn w:val="745"/>
    <w:next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70" w:customStyle="1">
    <w:name w:val="Верхний колонтитул1"/>
    <w:basedOn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71" w:customStyle="1">
    <w:name w:val="Нижний колонтитул1"/>
    <w:basedOn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72" w:customStyle="1">
    <w:name w:val="Название объекта1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73" w:customStyle="1">
    <w:name w:val="Заголовок 11"/>
    <w:basedOn w:val="745"/>
    <w:next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4" w:customStyle="1">
    <w:name w:val="Заголовок 21"/>
    <w:basedOn w:val="745"/>
    <w:next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5" w:customStyle="1">
    <w:name w:val="Заголовок 31"/>
    <w:basedOn w:val="745"/>
    <w:next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 w:customStyle="1">
    <w:name w:val="Заголовок 41"/>
    <w:basedOn w:val="745"/>
    <w:next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 w:customStyle="1">
    <w:name w:val="Заголовок 51"/>
    <w:basedOn w:val="745"/>
    <w:next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 w:customStyle="1">
    <w:name w:val="Заголовок 61"/>
    <w:basedOn w:val="745"/>
    <w:next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 w:customStyle="1">
    <w:name w:val="Заголовок 71"/>
    <w:basedOn w:val="745"/>
    <w:next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 w:customStyle="1">
    <w:name w:val="Заголовок 81"/>
    <w:basedOn w:val="745"/>
    <w:next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 w:customStyle="1">
    <w:name w:val="Заголовок 91"/>
    <w:basedOn w:val="745"/>
    <w:next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82" w:customStyle="1">
    <w:name w:val="Верхний колонтитул1"/>
    <w:basedOn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3" w:customStyle="1">
    <w:name w:val="Нижний колонтитул1"/>
    <w:basedOn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4" w:customStyle="1">
    <w:name w:val="Заголовок 11"/>
    <w:basedOn w:val="745"/>
    <w:next w:val="745"/>
    <w:qFormat/>
    <w:pPr>
      <w:ind w:right="-1" w:firstLine="709"/>
      <w:jc w:val="both"/>
      <w:keepNext/>
      <w:outlineLvl w:val="0"/>
    </w:pPr>
    <w:rPr>
      <w:sz w:val="24"/>
    </w:rPr>
  </w:style>
  <w:style w:type="paragraph" w:styleId="785" w:customStyle="1">
    <w:name w:val="Заголовок 21"/>
    <w:basedOn w:val="745"/>
    <w:next w:val="745"/>
    <w:qFormat/>
    <w:pPr>
      <w:ind w:right="-1"/>
      <w:jc w:val="both"/>
      <w:keepNext/>
      <w:outlineLvl w:val="1"/>
    </w:pPr>
    <w:rPr>
      <w:sz w:val="24"/>
    </w:rPr>
  </w:style>
  <w:style w:type="paragraph" w:styleId="786" w:customStyle="1">
    <w:name w:val="Заголовок 31"/>
    <w:basedOn w:val="745"/>
    <w:next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basedOn w:val="745"/>
    <w:next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basedOn w:val="745"/>
    <w:next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basedOn w:val="745"/>
    <w:next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basedOn w:val="745"/>
    <w:next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basedOn w:val="745"/>
    <w:next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basedOn w:val="745"/>
    <w:next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46"/>
    <w:uiPriority w:val="10"/>
    <w:rPr>
      <w:sz w:val="48"/>
      <w:szCs w:val="48"/>
    </w:rPr>
  </w:style>
  <w:style w:type="character" w:styleId="794" w:customStyle="1">
    <w:name w:val="Subtitle Char"/>
    <w:basedOn w:val="746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Endnote Text Char"/>
    <w:uiPriority w:val="99"/>
    <w:rPr>
      <w:sz w:val="20"/>
    </w:rPr>
  </w:style>
  <w:style w:type="paragraph" w:styleId="799" w:customStyle="1">
    <w:name w:val="Заголовок 11"/>
    <w:basedOn w:val="745"/>
    <w:next w:val="745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0" w:customStyle="1">
    <w:name w:val="Heading 1 Char"/>
    <w:link w:val="799"/>
    <w:uiPriority w:val="9"/>
    <w:rPr>
      <w:rFonts w:ascii="Arial" w:hAnsi="Arial" w:eastAsia="Arial" w:cs="Arial"/>
      <w:sz w:val="40"/>
      <w:szCs w:val="40"/>
    </w:rPr>
  </w:style>
  <w:style w:type="paragraph" w:styleId="801" w:customStyle="1">
    <w:name w:val="Заголовок 21"/>
    <w:basedOn w:val="745"/>
    <w:next w:val="745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2" w:customStyle="1">
    <w:name w:val="Heading 2 Char"/>
    <w:link w:val="801"/>
    <w:uiPriority w:val="9"/>
    <w:rPr>
      <w:rFonts w:ascii="Arial" w:hAnsi="Arial" w:eastAsia="Arial" w:cs="Arial"/>
      <w:sz w:val="34"/>
    </w:rPr>
  </w:style>
  <w:style w:type="paragraph" w:styleId="803" w:customStyle="1">
    <w:name w:val="Заголовок 31"/>
    <w:basedOn w:val="745"/>
    <w:next w:val="745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3 Char"/>
    <w:link w:val="803"/>
    <w:uiPriority w:val="9"/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basedOn w:val="745"/>
    <w:next w:val="745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4 Char"/>
    <w:link w:val="805"/>
    <w:uiPriority w:val="9"/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45"/>
    <w:next w:val="745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5 Char"/>
    <w:link w:val="807"/>
    <w:uiPriority w:val="9"/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45"/>
    <w:next w:val="745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6 Char"/>
    <w:link w:val="809"/>
    <w:uiPriority w:val="9"/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Заголовок 71"/>
    <w:basedOn w:val="745"/>
    <w:next w:val="745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7 Char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 w:customStyle="1">
    <w:name w:val="Заголовок 81"/>
    <w:basedOn w:val="745"/>
    <w:next w:val="745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8 Char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 w:customStyle="1">
    <w:name w:val="Заголовок 91"/>
    <w:basedOn w:val="745"/>
    <w:next w:val="745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Heading 9 Char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4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1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9">
    <w:name w:val="Title"/>
    <w:basedOn w:val="745"/>
    <w:next w:val="745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Название Знак"/>
    <w:link w:val="819"/>
    <w:uiPriority w:val="10"/>
    <w:rPr>
      <w:sz w:val="48"/>
      <w:szCs w:val="48"/>
    </w:rPr>
  </w:style>
  <w:style w:type="paragraph" w:styleId="821">
    <w:name w:val="Subtitle"/>
    <w:basedOn w:val="745"/>
    <w:next w:val="745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 w:customStyle="1">
    <w:name w:val="Подзаголовок Знак"/>
    <w:link w:val="821"/>
    <w:uiPriority w:val="11"/>
    <w:rPr>
      <w:sz w:val="24"/>
      <w:szCs w:val="24"/>
    </w:rPr>
  </w:style>
  <w:style w:type="paragraph" w:styleId="823">
    <w:name w:val="Quote"/>
    <w:basedOn w:val="745"/>
    <w:next w:val="745"/>
    <w:link w:val="824"/>
    <w:uiPriority w:val="29"/>
    <w:qFormat/>
    <w:pPr>
      <w:ind w:left="720" w:right="720"/>
    </w:pPr>
    <w:rPr>
      <w:i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45"/>
    <w:next w:val="745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paragraph" w:styleId="827" w:customStyle="1">
    <w:name w:val="Верхний колонтитул1"/>
    <w:basedOn w:val="745"/>
    <w:link w:val="82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8" w:customStyle="1">
    <w:name w:val="Header Char"/>
    <w:link w:val="827"/>
    <w:uiPriority w:val="99"/>
  </w:style>
  <w:style w:type="paragraph" w:styleId="829" w:customStyle="1">
    <w:name w:val="Нижний колонтитул1"/>
    <w:basedOn w:val="745"/>
    <w:link w:val="8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0" w:customStyle="1">
    <w:name w:val="Footer Char"/>
    <w:link w:val="829"/>
    <w:uiPriority w:val="99"/>
  </w:style>
  <w:style w:type="paragraph" w:styleId="831" w:customStyle="1">
    <w:name w:val="Название объекта1"/>
    <w:basedOn w:val="745"/>
    <w:next w:val="745"/>
    <w:link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link w:val="831"/>
    <w:uiPriority w:val="35"/>
    <w:rPr>
      <w:b/>
      <w:bCs/>
      <w:color w:val="4f81bd" w:themeColor="accent1"/>
      <w:sz w:val="18"/>
      <w:szCs w:val="18"/>
    </w:rPr>
  </w:style>
  <w:style w:type="table" w:styleId="833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>
    <w:name w:val="Hyperlink"/>
    <w:uiPriority w:val="99"/>
    <w:unhideWhenUsed/>
    <w:rPr>
      <w:color w:val="0000ff"/>
      <w:u w:val="single"/>
    </w:rPr>
  </w:style>
  <w:style w:type="paragraph" w:styleId="960">
    <w:name w:val="footnote text"/>
    <w:basedOn w:val="745"/>
    <w:link w:val="961"/>
    <w:uiPriority w:val="99"/>
    <w:semiHidden/>
    <w:unhideWhenUsed/>
    <w:pPr>
      <w:spacing w:after="40"/>
    </w:pPr>
    <w:rPr>
      <w:sz w:val="18"/>
    </w:rPr>
  </w:style>
  <w:style w:type="character" w:styleId="961" w:customStyle="1">
    <w:name w:val="Текст сноски Знак"/>
    <w:link w:val="960"/>
    <w:uiPriority w:val="99"/>
    <w:rPr>
      <w:sz w:val="18"/>
    </w:rPr>
  </w:style>
  <w:style w:type="character" w:styleId="962">
    <w:name w:val="footnote reference"/>
    <w:uiPriority w:val="99"/>
    <w:unhideWhenUsed/>
    <w:rPr>
      <w:vertAlign w:val="superscript"/>
    </w:rPr>
  </w:style>
  <w:style w:type="paragraph" w:styleId="963">
    <w:name w:val="endnote text"/>
    <w:basedOn w:val="745"/>
    <w:link w:val="964"/>
    <w:uiPriority w:val="99"/>
    <w:semiHidden/>
    <w:unhideWhenUsed/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uiPriority w:val="99"/>
    <w:semiHidden/>
    <w:unhideWhenUsed/>
    <w:rPr>
      <w:vertAlign w:val="superscript"/>
    </w:rPr>
  </w:style>
  <w:style w:type="paragraph" w:styleId="966">
    <w:name w:val="toc 1"/>
    <w:basedOn w:val="745"/>
    <w:next w:val="745"/>
    <w:uiPriority w:val="39"/>
    <w:unhideWhenUsed/>
    <w:pPr>
      <w:spacing w:after="57"/>
    </w:pPr>
  </w:style>
  <w:style w:type="paragraph" w:styleId="967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68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69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70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71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72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73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74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745"/>
    <w:next w:val="745"/>
    <w:uiPriority w:val="99"/>
    <w:unhideWhenUsed/>
  </w:style>
  <w:style w:type="paragraph" w:styleId="977" w:customStyle="1">
    <w:name w:val="Название объекта2"/>
    <w:basedOn w:val="745"/>
    <w:next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78">
    <w:name w:val="Body Text"/>
    <w:basedOn w:val="745"/>
    <w:link w:val="1004"/>
    <w:pPr>
      <w:ind w:right="3117"/>
    </w:pPr>
    <w:rPr>
      <w:rFonts w:ascii="Courier New" w:hAnsi="Courier New"/>
      <w:sz w:val="26"/>
    </w:rPr>
  </w:style>
  <w:style w:type="paragraph" w:styleId="979">
    <w:name w:val="Body Text Indent"/>
    <w:basedOn w:val="745"/>
    <w:pPr>
      <w:ind w:right="-1"/>
      <w:jc w:val="both"/>
    </w:pPr>
    <w:rPr>
      <w:sz w:val="26"/>
    </w:rPr>
  </w:style>
  <w:style w:type="paragraph" w:styleId="980" w:customStyle="1">
    <w:name w:val="Нижний колонтитул2"/>
    <w:basedOn w:val="745"/>
    <w:link w:val="1061"/>
    <w:uiPriority w:val="99"/>
    <w:pPr>
      <w:tabs>
        <w:tab w:val="center" w:pos="4153" w:leader="none"/>
        <w:tab w:val="right" w:pos="8306" w:leader="none"/>
      </w:tabs>
    </w:pPr>
  </w:style>
  <w:style w:type="character" w:styleId="981">
    <w:name w:val="page number"/>
    <w:basedOn w:val="746"/>
  </w:style>
  <w:style w:type="paragraph" w:styleId="982" w:customStyle="1">
    <w:name w:val="Верхний колонтитул2"/>
    <w:basedOn w:val="745"/>
    <w:link w:val="985"/>
    <w:uiPriority w:val="99"/>
    <w:pPr>
      <w:tabs>
        <w:tab w:val="center" w:pos="4153" w:leader="none"/>
        <w:tab w:val="right" w:pos="8306" w:leader="none"/>
      </w:tabs>
    </w:pPr>
  </w:style>
  <w:style w:type="paragraph" w:styleId="983">
    <w:name w:val="Balloon Text"/>
    <w:basedOn w:val="745"/>
    <w:link w:val="984"/>
    <w:uiPriority w:val="99"/>
    <w:rPr>
      <w:rFonts w:ascii="Segoe UI" w:hAnsi="Segoe UI" w:cs="Segoe UI"/>
      <w:sz w:val="18"/>
      <w:szCs w:val="18"/>
    </w:rPr>
  </w:style>
  <w:style w:type="character" w:styleId="984" w:customStyle="1">
    <w:name w:val="Текст выноски Знак"/>
    <w:link w:val="983"/>
    <w:uiPriority w:val="99"/>
    <w:rPr>
      <w:rFonts w:ascii="Segoe UI" w:hAnsi="Segoe UI" w:cs="Segoe UI"/>
      <w:sz w:val="18"/>
      <w:szCs w:val="18"/>
    </w:rPr>
  </w:style>
  <w:style w:type="character" w:styleId="985" w:customStyle="1">
    <w:name w:val="Верхний колонтитул Знак"/>
    <w:link w:val="982"/>
    <w:uiPriority w:val="99"/>
  </w:style>
  <w:style w:type="numbering" w:styleId="986" w:customStyle="1">
    <w:name w:val="Нет списка1"/>
    <w:next w:val="748"/>
    <w:uiPriority w:val="99"/>
    <w:semiHidden/>
    <w:unhideWhenUsed/>
  </w:style>
  <w:style w:type="character" w:styleId="987">
    <w:name w:val="FollowedHyperlink"/>
    <w:uiPriority w:val="99"/>
    <w:unhideWhenUsed/>
    <w:rPr>
      <w:color w:val="800080"/>
      <w:u w:val="single"/>
    </w:rPr>
  </w:style>
  <w:style w:type="paragraph" w:styleId="988" w:customStyle="1">
    <w:name w:val="xl65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66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67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68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2" w:customStyle="1">
    <w:name w:val="xl69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0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4" w:customStyle="1">
    <w:name w:val="xl71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5" w:customStyle="1">
    <w:name w:val="xl72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xl73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7" w:customStyle="1">
    <w:name w:val="xl74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8" w:customStyle="1">
    <w:name w:val="xl75"/>
    <w:basedOn w:val="74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9" w:customStyle="1">
    <w:name w:val="xl76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0" w:customStyle="1">
    <w:name w:val="xl77"/>
    <w:basedOn w:val="74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1" w:customStyle="1">
    <w:name w:val="xl78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79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Форма"/>
    <w:rPr>
      <w:sz w:val="28"/>
      <w:szCs w:val="28"/>
      <w:lang w:eastAsia="ru-RU"/>
    </w:rPr>
  </w:style>
  <w:style w:type="character" w:styleId="1004" w:customStyle="1">
    <w:name w:val="Основной текст Знак"/>
    <w:link w:val="978"/>
    <w:rPr>
      <w:rFonts w:ascii="Courier New" w:hAnsi="Courier New"/>
      <w:sz w:val="26"/>
    </w:rPr>
  </w:style>
  <w:style w:type="paragraph" w:styleId="1005" w:customStyle="1">
    <w:name w:val="ConsPlusNormal"/>
    <w:rPr>
      <w:sz w:val="28"/>
      <w:szCs w:val="28"/>
      <w:lang w:eastAsia="ru-RU"/>
    </w:rPr>
  </w:style>
  <w:style w:type="numbering" w:styleId="1006" w:customStyle="1">
    <w:name w:val="Нет списка11"/>
    <w:next w:val="748"/>
    <w:uiPriority w:val="99"/>
    <w:semiHidden/>
    <w:unhideWhenUsed/>
  </w:style>
  <w:style w:type="numbering" w:styleId="1007" w:customStyle="1">
    <w:name w:val="Нет списка111"/>
    <w:next w:val="748"/>
    <w:link w:val="1062"/>
    <w:uiPriority w:val="99"/>
    <w:semiHidden/>
    <w:unhideWhenUsed/>
  </w:style>
  <w:style w:type="paragraph" w:styleId="1008" w:customStyle="1">
    <w:name w:val="font5"/>
    <w:basedOn w:val="74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09" w:customStyle="1">
    <w:name w:val="xl80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10" w:customStyle="1">
    <w:name w:val="xl81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11" w:customStyle="1">
    <w:name w:val="xl82"/>
    <w:basedOn w:val="74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2" w:customStyle="1">
    <w:name w:val="xl83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84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85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86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87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7" w:customStyle="1">
    <w:name w:val="xl88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8" w:customStyle="1">
    <w:name w:val="xl89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90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 w:customStyle="1">
    <w:name w:val="xl91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1" w:customStyle="1">
    <w:name w:val="xl92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2" w:customStyle="1">
    <w:name w:val="xl93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3" w:customStyle="1">
    <w:name w:val="xl94"/>
    <w:basedOn w:val="74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4" w:customStyle="1">
    <w:name w:val="xl95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5" w:customStyle="1">
    <w:name w:val="xl96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97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98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28" w:customStyle="1">
    <w:name w:val="xl99"/>
    <w:basedOn w:val="7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100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01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02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03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04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05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06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07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08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09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10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11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12"/>
    <w:basedOn w:val="74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42" w:customStyle="1">
    <w:name w:val="xl113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14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15"/>
    <w:basedOn w:val="74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45" w:customStyle="1">
    <w:name w:val="xl116"/>
    <w:basedOn w:val="74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17"/>
    <w:basedOn w:val="74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18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19"/>
    <w:basedOn w:val="74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20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0" w:customStyle="1">
    <w:name w:val="xl121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1" w:customStyle="1">
    <w:name w:val="xl122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23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3" w:customStyle="1">
    <w:name w:val="xl124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4" w:customStyle="1">
    <w:name w:val="xl125"/>
    <w:basedOn w:val="7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55" w:customStyle="1">
    <w:name w:val="Нет списка2"/>
    <w:next w:val="748"/>
    <w:uiPriority w:val="99"/>
    <w:semiHidden/>
    <w:unhideWhenUsed/>
  </w:style>
  <w:style w:type="numbering" w:styleId="1056" w:customStyle="1">
    <w:name w:val="Нет списка3"/>
    <w:next w:val="748"/>
    <w:uiPriority w:val="99"/>
    <w:semiHidden/>
    <w:unhideWhenUsed/>
  </w:style>
  <w:style w:type="paragraph" w:styleId="1057" w:customStyle="1">
    <w:name w:val="font6"/>
    <w:basedOn w:val="7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8" w:customStyle="1">
    <w:name w:val="font7"/>
    <w:basedOn w:val="7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9" w:customStyle="1">
    <w:name w:val="font8"/>
    <w:basedOn w:val="7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60" w:customStyle="1">
    <w:name w:val="Нет списка4"/>
    <w:next w:val="748"/>
    <w:uiPriority w:val="99"/>
    <w:semiHidden/>
    <w:unhideWhenUsed/>
  </w:style>
  <w:style w:type="character" w:styleId="1061" w:customStyle="1">
    <w:name w:val="Нижний колонтитул Знак"/>
    <w:link w:val="980"/>
    <w:uiPriority w:val="99"/>
  </w:style>
  <w:style w:type="paragraph" w:styleId="1062" w:customStyle="1">
    <w:name w:val="Основной текст1"/>
    <w:link w:val="1007"/>
    <w:uiPriority w:val="99"/>
    <w:pPr>
      <w:ind w:right="311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 w:val="26"/>
      <w:lang w:eastAsia="ru-RU"/>
    </w:rPr>
  </w:style>
  <w:style w:type="paragraph" w:styleId="106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1064">
    <w:name w:val="Normal (Web)"/>
    <w:basedOn w:val="74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65" w:customStyle="1">
    <w:name w:val="Название объекта3"/>
    <w:basedOn w:val="745"/>
    <w:next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1066" w:customStyle="1">
    <w:name w:val="ConsPlusTitle"/>
    <w:uiPriority w:val="99"/>
    <w:pPr>
      <w:widowControl w:val="off"/>
    </w:pPr>
    <w:rPr>
      <w:rFonts w:ascii="Arial" w:hAnsi="Arial" w:cs="Arial" w:eastAsiaTheme="minorEastAsia"/>
      <w:b/>
      <w:sz w:val="24"/>
      <w:szCs w:val="22"/>
      <w:lang w:eastAsia="ru-RU"/>
    </w:rPr>
  </w:style>
  <w:style w:type="table" w:styleId="1067" w:customStyle="1">
    <w:name w:val="0-19"/>
    <w:basedOn w:val="747"/>
    <w:rPr>
      <w:color w:val="000000"/>
      <w:sz w:val="28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</w:style>
  <w:style w:type="character" w:styleId="1068">
    <w:name w:val="Strong"/>
    <w:basedOn w:val="746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CD69-B694-4AEB-A30E-C8D5BD53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21</cp:revision>
  <dcterms:created xsi:type="dcterms:W3CDTF">2026-05-20T04:42:00Z</dcterms:created>
  <dcterms:modified xsi:type="dcterms:W3CDTF">2026-07-01T05:17:07Z</dcterms:modified>
  <cp:version>983040</cp:version>
</cp:coreProperties>
</file>