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2952115</wp:posOffset>
                </wp:positionH>
                <wp:positionV relativeFrom="paragraph">
                  <wp:posOffset>-532765</wp:posOffset>
                </wp:positionV>
                <wp:extent cx="407035" cy="495300"/>
                <wp:effectExtent l="19050" t="0" r="0" b="0"/>
                <wp:wrapNone/>
                <wp:docPr id="1" name="Рисунок 1028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8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216;o:allowoverlap:true;o:allowincell:true;mso-position-horizontal-relative:text;margin-left:232.45pt;mso-position-horizontal:absolute;mso-position-vertical-relative:text;margin-top:-41.9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-536574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2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20.07.2026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6192;o:allowoverlap:true;o:allowincell:true;mso-position-horizontal-relative:text;margin-left:0.60pt;mso-position-horizontal:absolute;mso-position-vertical-relative:text;margin-top:-42.2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isibility:visible;" fillcolor="#FFFFFF" stroked="f">
                  <v:textbox inset="0,0,0,0">
                    <w:txbxContent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2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20.07.2026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670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670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670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right="4670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82"/>
        <w:ind w:left="0" w:right="0" w:firstLine="0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размера </w:t>
      </w:r>
      <w:r>
        <w:rPr>
          <w:rFonts w:ascii="Times New Roman" w:hAnsi="Times New Roman" w:cs="Times New Roman"/>
          <w:sz w:val="28"/>
          <w:szCs w:val="28"/>
        </w:rPr>
        <w:t xml:space="preserve">стоимости отдельных мероприятий</w:t>
        <w:br/>
      </w:r>
      <w:r>
        <w:rPr>
          <w:rFonts w:ascii="Times New Roman" w:hAnsi="Times New Roman" w:cs="Times New Roman"/>
          <w:sz w:val="28"/>
          <w:szCs w:val="28"/>
        </w:rPr>
        <w:t xml:space="preserve">по гражданской обороне на 2027 год </w:t>
      </w:r>
      <w:r>
        <w:rPr>
          <w:rFonts w:ascii="Times New Roman" w:hAnsi="Times New Roman" w:cs="Times New Roman"/>
          <w:sz w:val="28"/>
          <w:szCs w:val="28"/>
        </w:rPr>
        <w:t xml:space="preserve">и плановый</w:t>
        <w:br/>
        <w:t xml:space="preserve">период 2028 и 2029 годов и признании утратившим силу </w:t>
        <w:br/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Перми</w:t>
        <w:br/>
        <w:t xml:space="preserve">от 16.10.2025 № 785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размера </w:t>
      </w:r>
      <w:r>
        <w:rPr>
          <w:rFonts w:ascii="Times New Roman" w:hAnsi="Times New Roman" w:cs="Times New Roman"/>
          <w:sz w:val="28"/>
          <w:szCs w:val="28"/>
        </w:rPr>
        <w:t xml:space="preserve">стоимости</w:t>
        <w:br/>
        <w:t xml:space="preserve">отдельных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по гражданской обороне на 2026 год </w:t>
      </w:r>
      <w:r>
        <w:rPr>
          <w:rFonts w:ascii="Times New Roman" w:hAnsi="Times New Roman" w:cs="Times New Roman"/>
          <w:sz w:val="28"/>
          <w:szCs w:val="28"/>
        </w:rPr>
        <w:br/>
        <w:t xml:space="preserve">и плановый период 2027 и 2028 годов и признании </w:t>
      </w:r>
      <w:r>
        <w:rPr>
          <w:rFonts w:ascii="Times New Roman" w:hAnsi="Times New Roman" w:cs="Times New Roman"/>
          <w:sz w:val="28"/>
          <w:szCs w:val="28"/>
        </w:rPr>
        <w:t xml:space="preserve">утратившим</w:t>
        <w:br/>
      </w:r>
      <w:r>
        <w:rPr>
          <w:rFonts w:ascii="Times New Roman" w:hAnsi="Times New Roman" w:cs="Times New Roman"/>
          <w:sz w:val="28"/>
          <w:szCs w:val="28"/>
        </w:rPr>
        <w:t xml:space="preserve">силу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Перми </w:t>
        <w:br/>
        <w:t xml:space="preserve">от 22.10.2024 № 1023 «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Об утверждении размера стоимости отдельных</w:t>
        <w:br/>
        <w:t xml:space="preserve">мероприятий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по гражданской обороне на 2025 год </w:t>
      </w:r>
      <w:r>
        <w:rPr>
          <w:rFonts w:ascii="Times New Roman" w:hAnsi="Times New Roman" w:cs="Times New Roman" w:eastAsiaTheme="minorEastAsia"/>
          <w:sz w:val="28"/>
          <w:szCs w:val="28"/>
        </w:rPr>
        <w:br/>
        <w:t xml:space="preserve">и плановый период 2026 и 2027 годов и признании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утратившими</w:t>
        <w:br/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силу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отдельных постановлений 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администра</w:t>
      </w:r>
      <w:r>
        <w:rPr>
          <w:rFonts w:ascii="Times New Roman" w:hAnsi="Times New Roman" w:cs="Times New Roman" w:eastAsiaTheme="minorEastAsia"/>
          <w:sz w:val="28"/>
          <w:szCs w:val="28"/>
        </w:rPr>
        <w:t xml:space="preserve">ции города Перми </w:t>
      </w:r>
      <w:r>
        <w:rPr>
          <w:rFonts w:ascii="Times New Roman" w:hAnsi="Times New Roman" w:cs="Times New Roman" w:eastAsiaTheme="minorEastAsia"/>
          <w:sz w:val="28"/>
          <w:szCs w:val="28"/>
        </w:rPr>
        <w:br/>
        <w:t xml:space="preserve">в сфере гражданской обороны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46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6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67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Бюджетным </w:t>
      </w:r>
      <w:hyperlink r:id="rId13" w:tooltip="consultantplus://offline/ref=67FDE8E96ACB0FB3033DB84D26BB9DB43F3600DAFC4045D111A2FC3E86DFE7B7CF898A5DCDCCC94E70B9B228D4h5W7L" w:history="1">
        <w:r>
          <w:rPr>
            <w:bCs/>
            <w:sz w:val="28"/>
            <w:szCs w:val="28"/>
          </w:rPr>
          <w:t xml:space="preserve">кодексом</w:t>
        </w:r>
      </w:hyperlink>
      <w:r>
        <w:rPr>
          <w:bCs/>
          <w:sz w:val="28"/>
          <w:szCs w:val="28"/>
        </w:rPr>
        <w:t xml:space="preserve"> Российской Федерации,</w:t>
        <w:br/>
        <w:t xml:space="preserve">федерал</w:t>
      </w:r>
      <w:r>
        <w:rPr>
          <w:bCs/>
          <w:sz w:val="28"/>
          <w:szCs w:val="28"/>
        </w:rPr>
        <w:t xml:space="preserve">ь</w:t>
      </w:r>
      <w:r>
        <w:rPr>
          <w:bCs/>
          <w:sz w:val="28"/>
          <w:szCs w:val="28"/>
        </w:rPr>
        <w:t xml:space="preserve">ными </w:t>
      </w:r>
      <w:hyperlink r:id="rId14" w:tooltip="consultantplus://offline/ref=67FDE8E96ACB0FB3033DB84D26BB9DB43F3407D3FE4045D111A2FC3E86DFE7B7CF898A5DCDCCC94E70B9B228D4h5W7L" w:history="1">
        <w:r>
          <w:rPr>
            <w:bCs/>
            <w:sz w:val="28"/>
            <w:szCs w:val="28"/>
          </w:rPr>
          <w:t xml:space="preserve">законам</w:t>
        </w:r>
      </w:hyperlink>
      <w:r>
        <w:rPr>
          <w:bCs/>
          <w:sz w:val="28"/>
          <w:szCs w:val="28"/>
        </w:rPr>
        <w:t xml:space="preserve">и от 06 октября 2003 г. № 131-ФЗ «Об общих принципах организ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ции местного самоуправления в Российской Федерации», от 20 марта 2025 г. </w:t>
      </w:r>
      <w:r>
        <w:rPr>
          <w:bCs/>
          <w:sz w:val="28"/>
          <w:szCs w:val="28"/>
        </w:rPr>
        <w:t xml:space="preserve">№ 33-ФЗ «Об общих принципах организации местного самоуправления</w:t>
        <w:br/>
        <w:t xml:space="preserve">в единой системе публичной власти», </w:t>
      </w:r>
      <w:hyperlink r:id="rId15" w:tooltip="consultantplus://offline/ref=67FDE8E96ACB0FB3033DA64030D7C0BF333F5CD6FC44498445F6FA69D98FE1E29DC9D4048C8ADA4F79A7B02AD45E897BFD5178EF3A7D50455C8D7B6Ch0WFL" w:history="1">
        <w:r>
          <w:rPr>
            <w:bCs/>
            <w:sz w:val="28"/>
            <w:szCs w:val="28"/>
          </w:rPr>
          <w:t xml:space="preserve">Уставом</w:t>
        </w:r>
      </w:hyperlink>
      <w:r>
        <w:rPr>
          <w:bCs/>
          <w:sz w:val="28"/>
          <w:szCs w:val="28"/>
        </w:rPr>
        <w:t xml:space="preserve"> города Перми, </w:t>
      </w:r>
      <w:hyperlink r:id="rId16" w:tooltip="consultantplus://offline/ref=67FDE8E96ACB0FB3033DA64030D7C0BF333F5CD6FC464A824CFFFA69D98FE1E29DC9D4049E8A82437BA5AE28DF4BDF2ABBh0W6L" w:history="1">
        <w:r>
          <w:rPr>
            <w:bCs/>
            <w:sz w:val="28"/>
            <w:szCs w:val="28"/>
          </w:rPr>
          <w:t xml:space="preserve">постановлением</w:t>
        </w:r>
      </w:hyperlink>
      <w:r>
        <w:rPr>
          <w:bCs/>
          <w:sz w:val="28"/>
          <w:szCs w:val="28"/>
        </w:rPr>
        <w:br/>
        <w:t xml:space="preserve">администр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ции города Перми от 30 августа 2011 г. № 451 «Об утверждении</w:t>
        <w:br/>
        <w:t xml:space="preserve">Методики расчета стоимости работ (услуг) на выполнение отдельных</w:t>
        <w:br/>
        <w:t xml:space="preserve">мероприятий по гражданской обороне», в целях актуализации правовых актов</w:t>
        <w:br/>
        <w:t xml:space="preserve">города Перми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администрация города Перми </w:t>
      </w:r>
      <w:r>
        <w:rPr>
          <w:bCs/>
          <w:sz w:val="28"/>
          <w:szCs w:val="28"/>
        </w:rPr>
        <w:t xml:space="preserve">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20"/>
        <w:jc w:val="both"/>
        <w:spacing w:before="0" w:after="0" w:line="240" w:lineRule="auto"/>
        <w:rPr>
          <w:bCs/>
          <w:sz w:val="28"/>
          <w:szCs w:val="28"/>
        </w:rPr>
        <w:suppressLineNumbers w:val="0"/>
      </w:pPr>
      <w:r>
        <w:rPr>
          <w:bCs/>
          <w:sz w:val="28"/>
          <w:szCs w:val="28"/>
        </w:rPr>
        <w:t xml:space="preserve">1. Утвердить прилагаемый </w:t>
      </w:r>
      <w:hyperlink r:id="rId17" w:tooltip="consultantplus://offline/ref=67FDE8E96ACB0FB3033DA64030D7C0BF333F5CD6FC454E804DFFFA69D98FE1E29DC9D4048C8ADA4F79A7B029D55E897BFD5178EF3A7D50455C8D7B6Ch0WFL" w:history="1">
        <w:r>
          <w:rPr>
            <w:bCs/>
            <w:sz w:val="28"/>
            <w:szCs w:val="28"/>
          </w:rPr>
          <w:t xml:space="preserve">размер</w:t>
        </w:r>
      </w:hyperlink>
      <w:r>
        <w:rPr>
          <w:bCs/>
          <w:sz w:val="28"/>
          <w:szCs w:val="28"/>
        </w:rPr>
        <w:t xml:space="preserve"> стоимости отдельных мероприятий </w:t>
      </w:r>
      <w:r>
        <w:rPr>
          <w:bCs/>
          <w:sz w:val="28"/>
          <w:szCs w:val="28"/>
        </w:rPr>
        <w:br/>
        <w:t xml:space="preserve">по гражданской обороне на 2027 год и плановый период 2028 и 2029 годов.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82"/>
        <w:contextualSpacing w:val="0"/>
        <w:ind w:left="0" w:right="-6" w:firstLine="720"/>
        <w:jc w:val="both"/>
        <w:spacing w:before="0"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 Признать утратившим силу постановление администрации города Перми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от 16 октября 2025 г. № 785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 утверждении размера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стоимости отдельных</w:t>
        <w:br/>
        <w:t xml:space="preserve">мероприятий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гражданской обороне на 2026 год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и плановый период 2027 и 2028 годов и признании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утратившим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силу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города Перми от 22.10.2024 № 1023 «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Об утверждении размера стоимости отдельных</w:t>
        <w:br/>
        <w:t xml:space="preserve">мероприятий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по гражданской обороне на 2025 год 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и плановый период 2026</w:t>
        <w:br/>
        <w:t xml:space="preserve">и 2027 годов и признании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утратившими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 силу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отдельных постановлений</w:t>
        <w:br/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администра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ции города Перми 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в сфере гражданской обороны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 w:eastAsiaTheme="minorEastAsia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 w:val="0"/>
        <w:ind w:firstLine="720"/>
        <w:jc w:val="both"/>
        <w:spacing w:before="0" w:after="0" w:line="240" w:lineRule="auto"/>
        <w:rPr>
          <w:bCs/>
          <w:sz w:val="28"/>
          <w:szCs w:val="28"/>
        </w:rPr>
        <w:suppressLineNumbers w:val="0"/>
      </w:pPr>
      <w:r>
        <w:rPr>
          <w:bCs/>
          <w:sz w:val="28"/>
          <w:szCs w:val="28"/>
        </w:rPr>
        <w:t xml:space="preserve">3. Настоящее постановление вступает в силу с 01 января 2027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</w:t>
        <w:br/>
        <w:t xml:space="preserve">о</w:t>
      </w:r>
      <w:r>
        <w:rPr>
          <w:bCs/>
          <w:sz w:val="28"/>
          <w:szCs w:val="28"/>
        </w:rPr>
        <w:t xml:space="preserve">б</w:t>
      </w:r>
      <w:r>
        <w:rPr>
          <w:bCs/>
          <w:sz w:val="28"/>
          <w:szCs w:val="28"/>
        </w:rPr>
        <w:t xml:space="preserve">разования город Пермь»</w:t>
      </w:r>
      <w: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Управлению по общим вопросам администрации города Перми</w:t>
        <w:br/>
        <w:t xml:space="preserve">обеспечить обнародование настоящего постановления посредством официального опублик</w:t>
      </w:r>
      <w:r>
        <w:rPr>
          <w:bCs/>
          <w:sz w:val="28"/>
          <w:szCs w:val="28"/>
        </w:rPr>
        <w:t xml:space="preserve">о</w:t>
      </w:r>
      <w:r>
        <w:rPr>
          <w:bCs/>
          <w:sz w:val="28"/>
          <w:szCs w:val="28"/>
        </w:rPr>
        <w:t xml:space="preserve">вания в печатном средстве массовой информации «Официальный</w:t>
        <w:br/>
        <w:t xml:space="preserve">бюллетень орг</w:t>
      </w:r>
      <w:r>
        <w:rPr>
          <w:bCs/>
          <w:sz w:val="28"/>
          <w:szCs w:val="28"/>
        </w:rPr>
        <w:t xml:space="preserve">а</w:t>
      </w:r>
      <w:r>
        <w:rPr>
          <w:bCs/>
          <w:sz w:val="28"/>
          <w:szCs w:val="28"/>
        </w:rPr>
        <w:t xml:space="preserve">нов местного самоуправления муниципального образования город Пермь».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</w:t>
        <w:br/>
        <w:t xml:space="preserve">офиц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ального опубликования в сетевом издании «Официальный сайт</w:t>
        <w:br/>
        <w:t xml:space="preserve">муниципального образования город Пермь www.gorodperm.ru».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bCs/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20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  <w:t xml:space="preserve">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ind w:right="0"/>
        <w:jc w:val="both"/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80"/>
        <w:ind w:left="0"/>
        <w:jc w:val="both"/>
        <w:spacing w:after="0" w:line="240" w:lineRule="exact"/>
        <w:rPr>
          <w:rFonts w:ascii="Times New Roman" w:hAnsi="Times New Roman" w:cs="Times New Roman"/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0" w:h="16820" w:orient="portrait"/>
          <w:pgMar w:top="1134" w:right="567" w:bottom="1134" w:left="1418" w:header="363" w:footer="720" w:gutter="0"/>
          <w:pgNumType w:start="1"/>
          <w:cols w:num="1" w:sep="0" w:space="60" w:equalWidth="1"/>
          <w:docGrid w:linePitch="360"/>
          <w:titlePg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20.07.2026 № 426</w:t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стоимости отдельных мероприятий по гражданской обороне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2027 год и плановый период 2028 и 2029 годов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722"/>
        <w:tblW w:w="5000" w:type="pct"/>
        <w:tblLayout w:type="fixed"/>
        <w:tblLook w:val="0000" w:firstRow="0" w:lastRow="0" w:firstColumn="0" w:lastColumn="0" w:noHBand="0" w:noVBand="0"/>
      </w:tblPr>
      <w:tblGrid>
        <w:gridCol w:w="391"/>
        <w:gridCol w:w="4112"/>
        <w:gridCol w:w="849"/>
        <w:gridCol w:w="1701"/>
        <w:gridCol w:w="1561"/>
        <w:gridCol w:w="1523"/>
      </w:tblGrid>
      <w:tr>
        <w:tblPrEx/>
        <w:trPr/>
        <w:tc>
          <w:tcPr>
            <w:tcW w:w="193" w:type="pct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Наименование мероприятия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Ед. изм.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gridSpan w:val="3"/>
            <w:tcW w:w="236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Стоимость, руб.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028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419" w:type="pct"/>
            <w:vMerge w:val="continue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2027 год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2028 год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2029 год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Аренда (субаренда) складских помещений для хранения пр</w:t>
            </w:r>
            <w:r>
              <w:rPr>
                <w:color w:val="000000" w:themeColor="text1"/>
                <w:sz w:val="28"/>
                <w:szCs w:val="28"/>
              </w:rPr>
              <w:t xml:space="preserve">о</w:t>
            </w:r>
            <w:r>
              <w:rPr>
                <w:color w:val="000000" w:themeColor="text1"/>
                <w:sz w:val="28"/>
                <w:szCs w:val="28"/>
              </w:rPr>
              <w:t xml:space="preserve">довольственного запаса и им</w:t>
            </w:r>
            <w:r>
              <w:rPr>
                <w:color w:val="000000" w:themeColor="text1"/>
                <w:sz w:val="28"/>
                <w:szCs w:val="28"/>
              </w:rPr>
              <w:t xml:space="preserve">у</w:t>
            </w:r>
            <w:r>
              <w:rPr>
                <w:color w:val="000000" w:themeColor="text1"/>
                <w:sz w:val="28"/>
                <w:szCs w:val="28"/>
              </w:rPr>
              <w:t xml:space="preserve">щества гражданской обороны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кв. м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2 974,93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2 974,93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2 974,93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Охрана складских помещений, продовольственного запаса 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и имущества гражданской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обороны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кв. м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454,74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454,74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454,74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Обновление </w:t>
            </w:r>
            <w:r>
              <w:rPr>
                <w:color w:val="000000" w:themeColor="text1"/>
                <w:sz w:val="28"/>
                <w:szCs w:val="28"/>
              </w:rPr>
              <w:t xml:space="preserve">продовольственного запаса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25 340,07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25 340,07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25 340,07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Содержание в целях гражда</w:t>
            </w:r>
            <w:r>
              <w:rPr>
                <w:color w:val="000000" w:themeColor="text1"/>
                <w:sz w:val="28"/>
                <w:szCs w:val="28"/>
              </w:rPr>
              <w:t xml:space="preserve">н</w:t>
            </w:r>
            <w:r>
              <w:rPr>
                <w:color w:val="000000" w:themeColor="text1"/>
                <w:sz w:val="28"/>
                <w:szCs w:val="28"/>
              </w:rPr>
              <w:t xml:space="preserve">ской обороны продовольстве</w:t>
            </w:r>
            <w:r>
              <w:rPr>
                <w:color w:val="000000" w:themeColor="text1"/>
                <w:sz w:val="28"/>
                <w:szCs w:val="28"/>
              </w:rPr>
              <w:t xml:space="preserve">н</w:t>
            </w:r>
            <w:r>
              <w:rPr>
                <w:color w:val="000000" w:themeColor="text1"/>
                <w:sz w:val="28"/>
                <w:szCs w:val="28"/>
              </w:rPr>
              <w:t xml:space="preserve">ного запаса и хранение имущ</w:t>
            </w:r>
            <w:r>
              <w:rPr>
                <w:color w:val="000000" w:themeColor="text1"/>
                <w:sz w:val="28"/>
                <w:szCs w:val="28"/>
              </w:rPr>
              <w:t xml:space="preserve">е</w:t>
            </w:r>
            <w:r>
              <w:rPr>
                <w:color w:val="000000" w:themeColor="text1"/>
                <w:sz w:val="28"/>
                <w:szCs w:val="28"/>
              </w:rPr>
              <w:t xml:space="preserve">ства гражданской обороны, включая выполнение складских работ по учету, перемещению, раскладке и складированию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870,00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870,00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870,00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5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Восполнение необходимого объема продовольственного </w:t>
            </w:r>
            <w:r>
              <w:rPr>
                <w:color w:val="000000" w:themeColor="text1"/>
                <w:sz w:val="28"/>
                <w:szCs w:val="28"/>
              </w:rPr>
              <w:t xml:space="preserve">запаса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562 726,12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562 726,12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562 726,12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6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Утилизация (уничтожение) продовольственного запаса </w:t>
            </w:r>
            <w:r>
              <w:rPr>
                <w:color w:val="000000" w:themeColor="text1"/>
                <w:sz w:val="28"/>
                <w:szCs w:val="28"/>
              </w:rPr>
              <w:t xml:space="preserve">и имущества гражданской </w:t>
            </w:r>
            <w:r>
              <w:rPr>
                <w:color w:val="000000" w:themeColor="text1"/>
                <w:sz w:val="28"/>
                <w:szCs w:val="28"/>
              </w:rPr>
              <w:t xml:space="preserve">обороны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10 000,00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10 000,00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10 000,00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tcW w:w="193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028" w:type="pct"/>
            <w:textDirection w:val="lrTb"/>
            <w:noWrap w:val="false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Техническое обслуживание имущества гражданской </w:t>
            </w:r>
            <w:r>
              <w:rPr>
                <w:color w:val="000000" w:themeColor="text1"/>
                <w:sz w:val="28"/>
                <w:szCs w:val="28"/>
              </w:rPr>
              <w:t xml:space="preserve">обороны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41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ед. 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839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23 373,34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770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23 373,34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51" w:type="pc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23 373,34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r/>
      <w:r/>
    </w:p>
    <w:sectPr>
      <w:footnotePr/>
      <w:endnotePr/>
      <w:type w:val="nextPage"/>
      <w:pgSz w:w="11900" w:h="16820" w:orient="portrait"/>
      <w:pgMar w:top="1134" w:right="567" w:bottom="1134" w:left="1418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8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>
      <w:rPr>
        <w:rStyle w:val="876"/>
      </w:rPr>
    </w:r>
    <w:r>
      <w:rPr>
        <w:rStyle w:val="876"/>
      </w:rPr>
    </w:r>
  </w:p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9"/>
    <w:link w:val="86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9"/>
    <w:link w:val="868"/>
    <w:uiPriority w:val="9"/>
    <w:rPr>
      <w:rFonts w:ascii="Liberation Sans" w:hAnsi="Liberation Sans" w:eastAsia="Liberation Sans" w:cs="Liberation Sans"/>
      <w:sz w:val="34"/>
    </w:rPr>
  </w:style>
  <w:style w:type="paragraph" w:styleId="696">
    <w:name w:val="Heading 3"/>
    <w:basedOn w:val="866"/>
    <w:next w:val="866"/>
    <w:link w:val="69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3 Char"/>
    <w:basedOn w:val="869"/>
    <w:link w:val="69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8">
    <w:name w:val="Heading 4"/>
    <w:basedOn w:val="866"/>
    <w:next w:val="866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9">
    <w:name w:val="Heading 4 Char"/>
    <w:basedOn w:val="869"/>
    <w:link w:val="69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0">
    <w:name w:val="Heading 5"/>
    <w:basedOn w:val="866"/>
    <w:next w:val="866"/>
    <w:link w:val="70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1">
    <w:name w:val="Heading 5 Char"/>
    <w:basedOn w:val="869"/>
    <w:link w:val="70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2">
    <w:name w:val="Heading 6"/>
    <w:basedOn w:val="866"/>
    <w:next w:val="866"/>
    <w:link w:val="70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>
    <w:name w:val="Heading 6 Char"/>
    <w:basedOn w:val="869"/>
    <w:link w:val="70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4">
    <w:name w:val="Heading 7"/>
    <w:basedOn w:val="866"/>
    <w:next w:val="86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5">
    <w:name w:val="Heading 7 Char"/>
    <w:basedOn w:val="869"/>
    <w:link w:val="70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6">
    <w:name w:val="Heading 8"/>
    <w:basedOn w:val="866"/>
    <w:next w:val="866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>
    <w:name w:val="Heading 8 Char"/>
    <w:basedOn w:val="869"/>
    <w:link w:val="70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8">
    <w:name w:val="Heading 9"/>
    <w:basedOn w:val="866"/>
    <w:next w:val="866"/>
    <w:link w:val="70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9">
    <w:name w:val="Heading 9 Char"/>
    <w:basedOn w:val="869"/>
    <w:link w:val="70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6"/>
    <w:next w:val="866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69"/>
    <w:link w:val="711"/>
    <w:uiPriority w:val="10"/>
    <w:rPr>
      <w:sz w:val="48"/>
      <w:szCs w:val="48"/>
    </w:rPr>
  </w:style>
  <w:style w:type="paragraph" w:styleId="713">
    <w:name w:val="Subtitle"/>
    <w:basedOn w:val="866"/>
    <w:next w:val="866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69"/>
    <w:link w:val="713"/>
    <w:uiPriority w:val="11"/>
    <w:rPr>
      <w:sz w:val="24"/>
      <w:szCs w:val="24"/>
    </w:rPr>
  </w:style>
  <w:style w:type="paragraph" w:styleId="715">
    <w:name w:val="Quote"/>
    <w:basedOn w:val="866"/>
    <w:next w:val="866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6"/>
    <w:next w:val="866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9"/>
    <w:link w:val="877"/>
    <w:uiPriority w:val="99"/>
  </w:style>
  <w:style w:type="character" w:styleId="720">
    <w:name w:val="Footer Char"/>
    <w:basedOn w:val="869"/>
    <w:link w:val="875"/>
    <w:uiPriority w:val="99"/>
  </w:style>
  <w:style w:type="character" w:styleId="721">
    <w:name w:val="Caption Char"/>
    <w:basedOn w:val="869"/>
    <w:link w:val="872"/>
    <w:uiPriority w:val="35"/>
    <w:rPr>
      <w:b/>
      <w:bCs/>
      <w:color w:val="4f81bd" w:themeColor="accent1"/>
      <w:sz w:val="18"/>
      <w:szCs w:val="18"/>
    </w:rPr>
  </w:style>
  <w:style w:type="table" w:styleId="722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2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7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69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9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</w:style>
  <w:style w:type="paragraph" w:styleId="867">
    <w:name w:val="Heading 1"/>
    <w:basedOn w:val="866"/>
    <w:next w:val="866"/>
    <w:qFormat/>
    <w:pPr>
      <w:ind w:right="-1" w:firstLine="709"/>
      <w:jc w:val="both"/>
      <w:keepNext/>
      <w:outlineLvl w:val="0"/>
    </w:pPr>
    <w:rPr>
      <w:sz w:val="24"/>
    </w:rPr>
  </w:style>
  <w:style w:type="paragraph" w:styleId="868">
    <w:name w:val="Heading 2"/>
    <w:basedOn w:val="866"/>
    <w:next w:val="866"/>
    <w:qFormat/>
    <w:pPr>
      <w:ind w:right="-1"/>
      <w:jc w:val="both"/>
      <w:keepNext/>
      <w:outlineLvl w:val="1"/>
    </w:pPr>
    <w:rPr>
      <w:sz w:val="24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paragraph" w:styleId="872">
    <w:name w:val="Caption"/>
    <w:basedOn w:val="866"/>
    <w:next w:val="866"/>
    <w:link w:val="72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3">
    <w:name w:val="Body Text"/>
    <w:basedOn w:val="866"/>
    <w:link w:val="881"/>
    <w:pPr>
      <w:ind w:right="3117"/>
    </w:pPr>
    <w:rPr>
      <w:rFonts w:ascii="Courier New" w:hAnsi="Courier New"/>
      <w:sz w:val="26"/>
    </w:rPr>
  </w:style>
  <w:style w:type="paragraph" w:styleId="874">
    <w:name w:val="Body Text Indent"/>
    <w:basedOn w:val="866"/>
    <w:pPr>
      <w:ind w:right="-1"/>
      <w:jc w:val="both"/>
    </w:pPr>
    <w:rPr>
      <w:sz w:val="26"/>
    </w:rPr>
  </w:style>
  <w:style w:type="paragraph" w:styleId="875">
    <w:name w:val="Footer"/>
    <w:basedOn w:val="866"/>
    <w:pPr>
      <w:tabs>
        <w:tab w:val="center" w:pos="4153" w:leader="none"/>
        <w:tab w:val="right" w:pos="8306" w:leader="none"/>
      </w:tabs>
    </w:pPr>
  </w:style>
  <w:style w:type="character" w:styleId="876">
    <w:name w:val="page number"/>
    <w:basedOn w:val="869"/>
  </w:style>
  <w:style w:type="paragraph" w:styleId="877">
    <w:name w:val="Header"/>
    <w:basedOn w:val="866"/>
    <w:pPr>
      <w:tabs>
        <w:tab w:val="center" w:pos="4153" w:leader="none"/>
        <w:tab w:val="right" w:pos="8306" w:leader="none"/>
      </w:tabs>
    </w:pPr>
  </w:style>
  <w:style w:type="paragraph" w:styleId="878">
    <w:name w:val="Balloon Text"/>
    <w:basedOn w:val="866"/>
    <w:link w:val="879"/>
    <w:rPr>
      <w:rFonts w:ascii="Segoe UI" w:hAnsi="Segoe UI" w:cs="Segoe UI"/>
      <w:sz w:val="18"/>
      <w:szCs w:val="18"/>
    </w:rPr>
  </w:style>
  <w:style w:type="character" w:styleId="879" w:customStyle="1">
    <w:name w:val="Текст выноски Знак"/>
    <w:link w:val="878"/>
    <w:rPr>
      <w:rFonts w:ascii="Segoe UI" w:hAnsi="Segoe UI" w:cs="Segoe UI"/>
      <w:sz w:val="18"/>
      <w:szCs w:val="18"/>
    </w:rPr>
  </w:style>
  <w:style w:type="paragraph" w:styleId="880">
    <w:name w:val="List Paragraph"/>
    <w:basedOn w:val="866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styleId="881" w:customStyle="1">
    <w:name w:val="Основной текст Знак"/>
    <w:basedOn w:val="869"/>
    <w:link w:val="873"/>
    <w:rPr>
      <w:rFonts w:ascii="Courier New" w:hAnsi="Courier New"/>
      <w:sz w:val="26"/>
    </w:rPr>
  </w:style>
  <w:style w:type="paragraph" w:styleId="882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table" w:styleId="883" w:customStyle="1">
    <w:name w:val="Light List Accent 4"/>
    <w:basedOn w:val="712"/>
    <w:uiPriority w:val="6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firstRow">
      <w:rPr>
        <w:b/>
        <w:bCs/>
        <w:color w:val="ffffff" w:themeColor="background1"/>
      </w:rPr>
      <w:pPr>
        <w:spacing w:before="0" w:after="0" w:line="240" w:lineRule="auto"/>
      </w:pPr>
      <w:tcPr>
        <w:shd w:val="clear" w:color="auto" w:fill="8064a2" w:themeFill="accent4"/>
      </w:tcPr>
    </w:tblStylePr>
    <w:tblStylePr w:type="lastCol">
      <w:rPr>
        <w:b/>
        <w:bCs/>
      </w:rPr>
    </w:tblStylePr>
    <w:tblStylePr w:type="lastRow">
      <w:rPr>
        <w:b/>
        <w:bCs/>
      </w:rPr>
      <w:pPr>
        <w:spacing w:before="0" w:after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consultantplus://offline/ref=67FDE8E96ACB0FB3033DB84D26BB9DB43F3600DAFC4045D111A2FC3E86DFE7B7CF898A5DCDCCC94E70B9B228D4h5W7L" TargetMode="External"/><Relationship Id="rId14" Type="http://schemas.openxmlformats.org/officeDocument/2006/relationships/hyperlink" Target="consultantplus://offline/ref=67FDE8E96ACB0FB3033DB84D26BB9DB43F3407D3FE4045D111A2FC3E86DFE7B7CF898A5DCDCCC94E70B9B228D4h5W7L" TargetMode="External"/><Relationship Id="rId15" Type="http://schemas.openxmlformats.org/officeDocument/2006/relationships/hyperlink" Target="consultantplus://offline/ref=67FDE8E96ACB0FB3033DA64030D7C0BF333F5CD6FC44498445F6FA69D98FE1E29DC9D4048C8ADA4F79A7B02AD45E897BFD5178EF3A7D50455C8D7B6Ch0WFL" TargetMode="External"/><Relationship Id="rId16" Type="http://schemas.openxmlformats.org/officeDocument/2006/relationships/hyperlink" Target="consultantplus://offline/ref=67FDE8E96ACB0FB3033DA64030D7C0BF333F5CD6FC464A824CFFFA69D98FE1E29DC9D4049E8A82437BA5AE28DF4BDF2ABBh0W6L" TargetMode="External"/><Relationship Id="rId17" Type="http://schemas.openxmlformats.org/officeDocument/2006/relationships/hyperlink" Target="consultantplus://offline/ref=67FDE8E96ACB0FB3033DA64030D7C0BF333F5CD6FC454E804DFFFA69D98FE1E29DC9D4048C8ADA4F79A7B029D55E897BFD5178EF3A7D50455C8D7B6Ch0WF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73713-0F7B-46C2-B925-E940131A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100</cp:revision>
  <dcterms:created xsi:type="dcterms:W3CDTF">2024-10-07T07:09:00Z</dcterms:created>
  <dcterms:modified xsi:type="dcterms:W3CDTF">2026-07-20T07:03:03Z</dcterms:modified>
</cp:coreProperties>
</file>