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433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433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23.07.2026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23.07.2026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  <w14:ligatures w14:val="none"/>
        </w:rPr>
        <w:suppressLineNumbers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 внесении изменений </w:t>
      </w: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условия концессионного соглашения в отношении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  <w14:ligatures w14:val="none"/>
        </w:rPr>
        <w:suppressLineNumbers w:val="0"/>
      </w:pPr>
      <w:r>
        <w:rPr>
          <w:b/>
          <w:bCs/>
          <w:sz w:val="28"/>
          <w:szCs w:val="28"/>
        </w:rPr>
        <w:t xml:space="preserve">муниципального имущества города Перми, утвержденные постановлением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  <w14:ligatures w14:val="none"/>
        </w:rPr>
        <w:suppressLineNumbers w:val="0"/>
      </w:pPr>
      <w:r>
        <w:rPr>
          <w:b/>
          <w:bCs/>
          <w:sz w:val="28"/>
          <w:szCs w:val="28"/>
        </w:rPr>
        <w:t xml:space="preserve">администрации города Перми от 13.12.2012 № 96-П «О заключении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  <w14:ligatures w14:val="none"/>
        </w:rPr>
        <w:suppressLineNumbers w:val="0"/>
      </w:pPr>
      <w:r>
        <w:rPr>
          <w:b/>
          <w:bCs/>
          <w:sz w:val="28"/>
          <w:szCs w:val="28"/>
        </w:rPr>
        <w:t xml:space="preserve">концессионного соглашения с обществом с ограниченной ответственностью «Нов</w:t>
      </w:r>
      <w:r>
        <w:rPr>
          <w:b/>
          <w:bCs/>
          <w:sz w:val="28"/>
          <w:szCs w:val="28"/>
        </w:rPr>
        <w:t xml:space="preserve">ая городская инфраструктура Прикамья» в отношении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contextualSpacing w:val="0"/>
        <w:jc w:val="center"/>
        <w:spacing w:before="0" w:after="0" w:line="238" w:lineRule="exact"/>
        <w:rPr>
          <w:b/>
          <w:bCs/>
          <w:sz w:val="28"/>
          <w:szCs w:val="28"/>
          <w14:ligatures w14:val="none"/>
        </w:rPr>
        <w:suppressLineNumbers w:val="0"/>
      </w:pPr>
      <w:r>
        <w:rPr>
          <w:b/>
          <w:bCs/>
          <w:sz w:val="28"/>
          <w:szCs w:val="28"/>
        </w:rPr>
        <w:t xml:space="preserve">муниципального имущества города Перми»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bCs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Бюджетным кодексом Российской Федерации, </w:t>
      </w:r>
      <w:r>
        <w:rPr>
          <w:bCs/>
          <w:sz w:val="28"/>
          <w:szCs w:val="28"/>
        </w:rPr>
        <w:t xml:space="preserve">Федеральным законом от 21 июля 2005 г. № 115-ФЗ «О концессионных соглашениях», </w:t>
      </w:r>
      <w:r>
        <w:rPr>
          <w:sz w:val="28"/>
          <w:szCs w:val="28"/>
        </w:rPr>
        <w:t xml:space="preserve">решением</w:t>
      </w:r>
      <w:r>
        <w:rPr>
          <w:bCs/>
          <w:sz w:val="28"/>
          <w:szCs w:val="28"/>
        </w:rPr>
        <w:t xml:space="preserve"> Пермской городской Думы от 23 августа </w:t>
      </w:r>
      <w:r>
        <w:rPr>
          <w:bCs/>
          <w:sz w:val="28"/>
          <w:szCs w:val="28"/>
        </w:rPr>
        <w:t xml:space="preserve">2022 </w:t>
      </w:r>
      <w:r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 xml:space="preserve">№ 188 «О концес</w:t>
      </w:r>
      <w:r>
        <w:rPr>
          <w:bCs/>
          <w:sz w:val="28"/>
          <w:szCs w:val="28"/>
        </w:rPr>
        <w:t xml:space="preserve">сионных соглашениях в городе Перми», </w:t>
      </w:r>
      <w:r>
        <w:rPr>
          <w:bCs/>
          <w:sz w:val="28"/>
          <w:szCs w:val="28"/>
        </w:rPr>
        <w:t xml:space="preserve">Уставом</w:t>
      </w:r>
      <w:r>
        <w:rPr>
          <w:bCs/>
          <w:sz w:val="28"/>
          <w:szCs w:val="28"/>
        </w:rPr>
        <w:t xml:space="preserve">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both"/>
        <w:tabs>
          <w:tab w:val="left" w:pos="993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администрация города Перми ПОСТАНОВЛЯЕТ: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74"/>
        <w:ind w:firstLine="709"/>
        <w:jc w:val="both"/>
        <w:tabs>
          <w:tab w:val="left" w:pos="993" w:leader="none"/>
        </w:tabs>
      </w:pPr>
      <w:r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Внести в условия концессионного соглашения в отношении </w:t>
      </w:r>
      <w:r>
        <w:rPr>
          <w:bCs/>
          <w:sz w:val="28"/>
          <w:szCs w:val="28"/>
        </w:rPr>
        <w:t xml:space="preserve">муниципального имущества города Перми, утвержденные постановлением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города Перми от 13 декабря 2012 г. № 96-П «О заключении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концессионного соглашения с обществом с ограниченной ответственностью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«Новая городская инфраструктура Прикамья» в отношении муниципального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имущества города Перми» </w:t>
        <w:br/>
        <w:t xml:space="preserve">(в ред. от 09.04.2013 № 242, от 09.06.2016 № 397,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 06.07.2016 № 472, от 07.09.2017 № 699, от 25.12.2018 № 1052, от 06.04.2020</w:t>
      </w:r>
      <w:r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326, от 27.06.2022 № 534, </w:t>
        <w:br/>
        <w:t xml:space="preserve">от 20.06.2023 № 509, от 16.08.2023 № 714, от 21.11.2023 №</w:t>
      </w:r>
      <w:r>
        <w:rPr>
          <w:bCs/>
          <w:sz w:val="28"/>
          <w:szCs w:val="28"/>
        </w:rPr>
        <w:t xml:space="preserve"> 1273, от 22.09.2025 </w:t>
        <w:br/>
        <w:t xml:space="preserve">№ 652, от 11.03.2026 № 136), следующие изменения:</w:t>
      </w:r>
      <w:r>
        <w:rPr>
          <w:bCs/>
          <w:sz w:val="28"/>
          <w:szCs w:val="28"/>
        </w:rPr>
      </w:r>
      <w:r/>
    </w:p>
    <w:p>
      <w:pPr>
        <w:contextualSpacing w:val="0"/>
        <w:ind w:firstLine="720"/>
        <w:jc w:val="both"/>
        <w:rPr>
          <w:sz w:val="28"/>
          <w:szCs w:val="28"/>
          <w:highlight w:val="none"/>
          <w:vertAlign w:val="baseline"/>
        </w:rPr>
        <w:suppressLineNumbers w:val="0"/>
      </w:pPr>
      <w:r>
        <w:rPr>
          <w:sz w:val="28"/>
          <w:szCs w:val="28"/>
          <w:highlight w:val="none"/>
          <w:vertAlign w:val="baseline"/>
        </w:rPr>
        <w:t xml:space="preserve">1.1. в пункте 3.2 таблицу изложить в следующей редакции:</w:t>
      </w:r>
      <w:r>
        <w:rPr>
          <w:sz w:val="28"/>
          <w:szCs w:val="28"/>
          <w:highlight w:val="none"/>
          <w:vertAlign w:val="baseline"/>
        </w:rPr>
      </w:r>
      <w:r>
        <w:rPr>
          <w:sz w:val="28"/>
          <w:szCs w:val="28"/>
          <w:highlight w:val="none"/>
          <w:vertAlign w:val="baseline"/>
        </w:rPr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1853"/>
        <w:gridCol w:w="2409"/>
        <w:gridCol w:w="1701"/>
        <w:gridCol w:w="1134"/>
        <w:gridCol w:w="1134"/>
        <w:gridCol w:w="1134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Технологический комплекс, в состав которого входит имущество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Мероприятие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Источник финансирования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Объем финансирования (капитальный грант), </w:t>
            </w:r>
            <w:r>
              <w:rPr>
                <w:color w:val="000000"/>
              </w:rPr>
              <w:t xml:space="preserve">тыс. руб</w:t>
            </w:r>
            <w:r>
              <w:rPr>
                <w:color w:val="000000"/>
              </w:rPr>
              <w:t xml:space="preserve">. с НДС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итого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1853"/>
        <w:gridCol w:w="2409"/>
        <w:gridCol w:w="1701"/>
        <w:gridCol w:w="1134"/>
        <w:gridCol w:w="1134"/>
        <w:gridCol w:w="1134"/>
      </w:tblGrid>
      <w:tr>
        <w:tblPrEx/>
        <w:trPr>
          <w:trHeight w:val="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6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Технологический комплекс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«НС </w:t>
            </w:r>
            <w:r>
              <w:rPr>
                <w:color w:val="000000"/>
              </w:rPr>
              <w:t xml:space="preserve">Южная»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техническая модернизация объекта хозяйственного назначения. Реконструкция старого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 нового машинных залов, РУ-6кВ, внутриплощадочных сетей. 1 этап – реконструкция старого машинного зала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94 706,0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94 706,0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284 119,0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284 119,0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5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Arial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Технологический комплекс «Сети водопровода правого берега </w:t>
            </w:r>
            <w:r>
              <w:rPr>
                <w:color w:val="000000"/>
                <w:lang w:eastAsia="en-US"/>
              </w:rPr>
              <w:br/>
              <w:t xml:space="preserve">г. Перми»</w:t>
            </w:r>
            <w:r>
              <w:rPr>
                <w:rFonts w:ascii="Calibri" w:hAnsi="Calibri" w:eastAsia="Calibri" w:cs="Arial"/>
                <w:lang w:eastAsia="en-US"/>
              </w:rPr>
            </w:r>
            <w:r>
              <w:rPr>
                <w:rFonts w:ascii="Calibri" w:hAnsi="Calibri" w:eastAsia="Calibri" w:cs="Arial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второй нитки водовода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водовода </w:t>
            </w:r>
            <w:r>
              <w:rPr>
                <w:color w:val="000000"/>
              </w:rPr>
              <w:t xml:space="preserve">Гайва-Закамск</w:t>
            </w:r>
            <w:r>
              <w:rPr>
                <w:color w:val="000000"/>
              </w:rPr>
              <w:t xml:space="preserve"> от НС «подкачка </w:t>
            </w:r>
            <w:r>
              <w:rPr>
                <w:color w:val="000000"/>
              </w:rPr>
              <w:t xml:space="preserve">Гайва</w:t>
            </w:r>
            <w:r>
              <w:rPr>
                <w:color w:val="000000"/>
              </w:rPr>
              <w:t xml:space="preserve">» до НС «Северная»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38 918,0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38 918,0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116 754,0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</w:rPr>
              <w:t xml:space="preserve">116 754,0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</w:tr>
      <w:tr>
        <w:tblPrEx/>
        <w:trPr>
          <w:jc w:val="center"/>
          <w:trHeight w:val="13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второй нитки водовода Д-400 мм от ул. Репина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ВНС «Северная»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(ул. Кабельщиков, 21)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 блокировочной сети водопровода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водовода Д-400 мм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ул. Кабельщиков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сети водопровода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Д-200 мм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ул. </w:t>
            </w:r>
            <w:r>
              <w:rPr>
                <w:color w:val="000000"/>
              </w:rPr>
              <w:t xml:space="preserve">Карбышева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25 020,0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25 020,0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75 060,0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75 060,0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86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color w:val="000000"/>
                <w:lang w:eastAsia="en-US"/>
              </w:rPr>
            </w:pPr>
            <w:r>
              <w:rPr>
                <w:rFonts w:ascii="Calibri" w:hAnsi="Calibri" w:eastAsia="Calibri"/>
                <w:color w:val="000000"/>
                <w:lang w:eastAsia="en-US"/>
              </w:rPr>
            </w:r>
            <w:r>
              <w:rPr>
                <w:rFonts w:ascii="Calibri" w:hAnsi="Calibri" w:eastAsia="Calibri"/>
                <w:color w:val="000000"/>
                <w:lang w:eastAsia="en-US"/>
              </w:rPr>
            </w:r>
            <w:r>
              <w:rPr>
                <w:rFonts w:ascii="Calibri" w:hAnsi="Calibri" w:eastAsia="Calibri"/>
                <w:color w:val="000000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сетей водоснабжения Кировского района и правобережной части Орджоникидзевского района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Перми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21 844,0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21 844,0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color w:val="000000"/>
                <w:lang w:eastAsia="en-US"/>
              </w:rPr>
            </w:pPr>
            <w:r>
              <w:rPr>
                <w:rFonts w:ascii="Calibri" w:hAnsi="Calibri" w:eastAsia="Calibri"/>
                <w:color w:val="000000"/>
                <w:lang w:eastAsia="en-US"/>
              </w:rPr>
            </w:r>
            <w:r>
              <w:rPr>
                <w:rFonts w:ascii="Calibri" w:hAnsi="Calibri" w:eastAsia="Calibri"/>
                <w:color w:val="000000"/>
                <w:lang w:eastAsia="en-US"/>
              </w:rPr>
            </w:r>
            <w:r>
              <w:rPr>
                <w:rFonts w:ascii="Calibri" w:hAnsi="Calibri" w:eastAsia="Calibri"/>
                <w:color w:val="000000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65 532,0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65 532,0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сети водопровода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ул. Автозаводской, 32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1 990,8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1 990,8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5 972,4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5 972,4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5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сети водопровода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ул. </w:t>
            </w:r>
            <w:r>
              <w:rPr>
                <w:color w:val="000000"/>
              </w:rPr>
              <w:t xml:space="preserve">Бородулинской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ул. Светлогорской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ул. </w:t>
            </w:r>
            <w:r>
              <w:rPr>
                <w:color w:val="000000"/>
              </w:rPr>
              <w:t xml:space="preserve">Бородулинской</w:t>
            </w:r>
            <w:r>
              <w:rPr>
                <w:color w:val="000000"/>
              </w:rPr>
              <w:t xml:space="preserve">, 24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5 947,1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5 947,1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17 841,3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17 841,3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>
          <w:jc w:val="center"/>
          <w:trHeight w:val="7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сети водопровода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ул. Кировоградской, 4 от водовода </w:t>
            </w:r>
            <w:r>
              <w:rPr>
                <w:color w:val="000000"/>
              </w:rPr>
              <w:t xml:space="preserve">Гайва-Закамск</w:t>
            </w:r>
            <w:r>
              <w:rPr>
                <w:color w:val="000000"/>
              </w:rPr>
              <w:t xml:space="preserve"> до ул. </w:t>
            </w:r>
            <w:r>
              <w:rPr>
                <w:color w:val="000000"/>
              </w:rPr>
              <w:t xml:space="preserve">Чистопольской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1 770,4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1 770,4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5 311,2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5 311,2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>
          <w:jc w:val="center"/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сети водопровода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ул. Кировоградской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ул. </w:t>
            </w:r>
            <w:r>
              <w:rPr>
                <w:color w:val="000000"/>
              </w:rPr>
              <w:t xml:space="preserve">Чистопольской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ж/д </w:t>
            </w:r>
            <w:r>
              <w:rPr>
                <w:color w:val="000000"/>
              </w:rPr>
              <w:t xml:space="preserve">ул. Кировоградской, 32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6 131,4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6 131,4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18 394,2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18 394,2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>
          <w:jc w:val="center"/>
          <w:trHeight w:val="7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сети водопровода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ул. Магистральной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ж/д ул. Магистральной, 22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ул. Шишкина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4 034,9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4 034,9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12 104,7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12 104,7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>
          <w:jc w:val="center"/>
          <w:trHeight w:val="6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реконструкция сети водопровода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ул. </w:t>
            </w:r>
            <w:r>
              <w:rPr>
                <w:color w:val="000000"/>
              </w:rPr>
              <w:t xml:space="preserve">Карбышева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ул. Репина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ж/д ул. </w:t>
            </w:r>
            <w:r>
              <w:rPr>
                <w:color w:val="000000"/>
              </w:rPr>
              <w:t xml:space="preserve">Карбышева</w:t>
            </w:r>
            <w:r>
              <w:rPr>
                <w:color w:val="000000"/>
              </w:rPr>
              <w:t xml:space="preserve">, 84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1 969,4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1 969,4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ascii="Calibri" w:hAnsi="Calibri" w:eastAsia="Calibri"/>
                <w:lang w:eastAsia="en-US"/>
              </w:rPr>
            </w:pP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  <w:r>
              <w:rPr>
                <w:rFonts w:ascii="Calibri" w:hAnsi="Calibri"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5 908,2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5 908,2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>
          <w:jc w:val="center"/>
          <w:trHeight w:val="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8" w:type="dxa"/>
            <w:vMerge w:val="restart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158 644,0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21 844,0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  <w:t xml:space="preserve">180 488,0</w:t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8" w:type="dxa"/>
            <w:vMerge w:val="continue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краевой бюджет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14:ligatures w14:val="none"/>
              </w:rPr>
            </w:pPr>
            <w:r>
              <w:rPr>
                <w:color w:val="000000"/>
              </w:rPr>
            </w:r>
            <w:r>
              <w:rPr>
                <w:color w:val="000000"/>
                <w14:ligatures w14:val="none"/>
              </w:rPr>
            </w:r>
            <w:r>
              <w:rPr>
                <w:color w:val="00000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 xml:space="preserve">541 465,0</w:t>
            </w:r>
            <w:r>
              <w:rPr>
                <w:color w:val="000000"/>
                <w:sz w:val="18"/>
                <w:szCs w:val="18"/>
                <w14:ligatures w14:val="none"/>
              </w:rPr>
            </w:r>
            <w:r>
              <w:rPr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 xml:space="preserve">541 465,0</w:t>
            </w:r>
            <w:r>
              <w:rPr>
                <w:color w:val="000000"/>
                <w:sz w:val="18"/>
                <w:szCs w:val="18"/>
                <w14:ligatures w14:val="none"/>
              </w:rPr>
            </w:r>
            <w:r>
              <w:rPr>
                <w:color w:val="000000"/>
                <w:sz w:val="18"/>
                <w:szCs w:val="18"/>
                <w14:ligatures w14:val="none"/>
              </w:rPr>
            </w:r>
          </w:p>
        </w:tc>
      </w:tr>
    </w:tbl>
    <w:p>
      <w:pPr>
        <w:contextualSpacing w:val="0"/>
        <w:ind w:firstLine="720"/>
        <w:jc w:val="both"/>
        <w:rPr>
          <w:sz w:val="28"/>
          <w:szCs w:val="28"/>
          <w:highlight w:val="none"/>
          <w:vertAlign w:val="baseline"/>
        </w:rPr>
        <w:suppressLineNumbers w:val="0"/>
      </w:pPr>
      <w:r>
        <w:rPr>
          <w:sz w:val="28"/>
          <w:szCs w:val="28"/>
          <w:highlight w:val="none"/>
          <w:vertAlign w:val="baseline"/>
        </w:rPr>
      </w:r>
      <w:r>
        <w:rPr>
          <w:sz w:val="28"/>
          <w:szCs w:val="28"/>
          <w:highlight w:val="none"/>
          <w:vertAlign w:val="baseline"/>
        </w:rPr>
      </w:r>
      <w:r>
        <w:rPr>
          <w:sz w:val="28"/>
          <w:szCs w:val="28"/>
          <w:highlight w:val="none"/>
          <w:vertAlign w:val="baseline"/>
        </w:rPr>
      </w:r>
    </w:p>
    <w:p>
      <w:pPr>
        <w:contextualSpacing w:val="0"/>
        <w:ind w:firstLine="720"/>
        <w:jc w:val="both"/>
        <w:widowControl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1.2. в пункте </w:t>
      </w:r>
      <w:r>
        <w:rPr>
          <w:sz w:val="28"/>
          <w:szCs w:val="28"/>
        </w:rPr>
        <w:t xml:space="preserve">3.2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  <w:vertAlign w:val="baseline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20"/>
        <w:jc w:val="both"/>
        <w:widowControl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1.2.1. абзац первый </w:t>
      </w:r>
      <w:r>
        <w:rPr>
          <w:sz w:val="28"/>
          <w:szCs w:val="28"/>
          <w:vertAlign w:val="baseline"/>
        </w:rPr>
        <w:t xml:space="preserve">дополнить словами</w:t>
      </w:r>
      <w:r>
        <w:rPr>
          <w:sz w:val="28"/>
          <w:szCs w:val="28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иное не установлено настоящим пунктом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widowControl/>
        <w:rPr>
          <w:sz w:val="28"/>
          <w:szCs w:val="28"/>
          <w:highlight w:val="none"/>
          <w:vertAlign w:val="baseline"/>
        </w:rPr>
        <w:suppressLineNumbers w:val="0"/>
      </w:pPr>
      <w:r>
        <w:rPr>
          <w:sz w:val="28"/>
          <w:szCs w:val="28"/>
          <w:highlight w:val="none"/>
          <w:vertAlign w:val="baseline"/>
        </w:rPr>
        <w:t xml:space="preserve">1.2.2. абзац второй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baseline"/>
        </w:rPr>
        <w:t xml:space="preserve">дополнить словами</w:t>
      </w:r>
      <w:r>
        <w:rPr>
          <w:sz w:val="28"/>
          <w:szCs w:val="28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иное не установлено настоящим пунктом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sz w:val="28"/>
          <w:szCs w:val="28"/>
          <w:highlight w:val="none"/>
          <w:vertAlign w:val="baseline"/>
        </w:rPr>
      </w:r>
      <w:r>
        <w:rPr>
          <w:sz w:val="28"/>
          <w:szCs w:val="28"/>
          <w:highlight w:val="none"/>
          <w:vertAlign w:val="baseline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widowControl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widowControl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:vertAlign w:val="baseline"/>
        </w:rPr>
        <w:t xml:space="preserve">1.2.3.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абзаца второго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дополнить абзацем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widowControl/>
        <w:rPr>
          <w:sz w:val="28"/>
          <w:szCs w:val="28"/>
          <w:highlight w:val="white"/>
          <w14:ligatures w14:val="none"/>
        </w:rPr>
        <w:suppressLineNumbers w:val="0"/>
      </w:pPr>
      <w:r>
        <w:rPr>
          <w:sz w:val="28"/>
          <w:szCs w:val="28"/>
          <w:highlight w:val="white"/>
          <w:vertAlign w:val="baseline"/>
        </w:rPr>
        <w:t xml:space="preserve">«</w:t>
      </w:r>
      <w:r>
        <w:rPr>
          <w:sz w:val="28"/>
          <w:szCs w:val="28"/>
          <w:highlight w:val="white"/>
          <w:vertAlign w:val="baseline"/>
          <w14:ligatures w14:val="none"/>
        </w:rPr>
        <w:t xml:space="preserve">Осуществить выплату капитального гранта в 2026 году за счет средств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бюджета муниципального образования город Пермь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vertAlign w:val="baseline"/>
        </w:rPr>
        <w:t xml:space="preserve">пунктом</w:t>
      </w:r>
      <w:r>
        <w:rPr>
          <w:sz w:val="28"/>
          <w:szCs w:val="28"/>
          <w:highlight w:val="white"/>
          <w:vertAlign w:val="baseline"/>
        </w:rPr>
        <w:t xml:space="preserve"> 5 </w:t>
        <w:br/>
        <w:t xml:space="preserve">статьи 242.23 Бюджетного кодекса Российской Федерации, </w:t>
      </w:r>
      <w:r>
        <w:rPr>
          <w:sz w:val="28"/>
          <w:szCs w:val="28"/>
          <w:highlight w:val="white"/>
        </w:rPr>
        <w:t xml:space="preserve">постановлением администрации города Перми от 13 января 2022 г. № 14 «</w:t>
      </w:r>
      <w:r>
        <w:rPr>
          <w:sz w:val="28"/>
          <w:szCs w:val="28"/>
          <w:highlight w:val="white"/>
        </w:rPr>
        <w:t xml:space="preserve">Об утверждении Правил осуществления департаментом финансов администрации города Перми казначейского сопровождения средств».»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contextualSpacing w:val="0"/>
        <w:ind w:firstLine="720"/>
        <w:jc w:val="both"/>
        <w:widowControl/>
        <w:rPr>
          <w:sz w:val="28"/>
          <w:szCs w:val="28"/>
          <w:vertAlign w:val="baseline"/>
        </w:rPr>
        <w:suppressLineNumbers w:val="0"/>
      </w:pPr>
      <w:r>
        <w:rPr>
          <w:sz w:val="28"/>
          <w:szCs w:val="28"/>
          <w:highlight w:val="none"/>
          <w:vertAlign w:val="baseline"/>
        </w:rPr>
        <w:t xml:space="preserve">1.2.4. в абзаце четвертом </w:t>
      </w:r>
      <w:r>
        <w:rPr>
          <w:sz w:val="28"/>
          <w:szCs w:val="28"/>
          <w:vertAlign w:val="baseline"/>
        </w:rPr>
        <w:t xml:space="preserve">слово «расчетный» заменить словом «лицевой»</w:t>
      </w:r>
      <w:r>
        <w:rPr>
          <w:sz w:val="28"/>
          <w:szCs w:val="28"/>
          <w:vertAlign w:val="baseline"/>
        </w:rPr>
        <w:t xml:space="preserve">.</w:t>
      </w:r>
      <w:r>
        <w:rPr>
          <w:sz w:val="28"/>
          <w:szCs w:val="28"/>
          <w:vertAlign w:val="baseline"/>
        </w:rPr>
      </w:r>
      <w:r>
        <w:rPr>
          <w:sz w:val="28"/>
          <w:szCs w:val="28"/>
          <w:vertAlign w:val="baseline"/>
        </w:rPr>
      </w:r>
    </w:p>
    <w:p>
      <w:pPr>
        <w:contextualSpacing w:val="0"/>
        <w:ind w:firstLine="720"/>
        <w:jc w:val="both"/>
        <w:widowControl/>
        <w:suppressLineNumbers w:val="0"/>
      </w:pPr>
      <w:r>
        <w:rPr>
          <w:sz w:val="28"/>
          <w:szCs w:val="28"/>
        </w:rPr>
        <w:t xml:space="preserve">2. Настоящее постановление вступает в сил</w:t>
      </w:r>
      <w:r>
        <w:rPr>
          <w:sz w:val="28"/>
          <w:szCs w:val="28"/>
        </w:rPr>
        <w:t xml:space="preserve">у со дня подписания.</w:t>
      </w:r>
      <w:r/>
    </w:p>
    <w:p>
      <w:pPr>
        <w:contextualSpacing w:val="0"/>
        <w:ind w:firstLine="720"/>
        <w:jc w:val="both"/>
        <w:suppressLineNumbers w:val="0"/>
      </w:pPr>
      <w:r>
        <w:rPr>
          <w:sz w:val="28"/>
          <w:szCs w:val="28"/>
        </w:rPr>
        <w:t xml:space="preserve">3. Управлению по общим вопросам администрации города Перми обеспечить </w:t>
      </w:r>
      <w:r>
        <w:rPr>
          <w:sz w:val="28"/>
          <w:szCs w:val="28"/>
        </w:rPr>
        <w:t xml:space="preserve">обнародование настоящего постановления в печатном средстве массовой </w:t>
      </w:r>
      <w:r>
        <w:rPr>
          <w:sz w:val="28"/>
          <w:szCs w:val="28"/>
        </w:rPr>
        <w:t xml:space="preserve">информации «Официальный бюллетень органов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город Пермь».</w:t>
      </w:r>
      <w:r>
        <w:rPr>
          <w:sz w:val="28"/>
          <w:szCs w:val="28"/>
        </w:rPr>
      </w:r>
      <w:r/>
    </w:p>
    <w:p>
      <w:pPr>
        <w:contextualSpacing w:val="0"/>
        <w:ind w:firstLine="720"/>
        <w:jc w:val="both"/>
        <w:suppressLineNumbers w:val="0"/>
      </w:pPr>
      <w:r>
        <w:rPr>
          <w:sz w:val="28"/>
          <w:szCs w:val="28"/>
        </w:rPr>
        <w:t xml:space="preserve">4. Информационно-аналитическому управлению администрации города </w:t>
      </w:r>
      <w:r>
        <w:rPr>
          <w:sz w:val="28"/>
          <w:szCs w:val="28"/>
        </w:rPr>
        <w:t xml:space="preserve">Перми обеспечить обнародование настоящего постановления в сетевом издании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«Официальный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город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www.gorodperm.ru».</w:t>
      </w:r>
      <w:r>
        <w:rPr>
          <w:sz w:val="28"/>
          <w:szCs w:val="28"/>
        </w:rPr>
      </w:r>
      <w:r/>
    </w:p>
    <w:p>
      <w:pPr>
        <w:contextualSpacing w:val="0"/>
        <w:ind w:firstLine="720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Лебедеву А.В.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  <w:t xml:space="preserve">Глава города Перми</w:t>
        <w:tab/>
        <w:tab/>
        <w:tab/>
        <w:tab/>
        <w:tab/>
        <w:tab/>
        <w:tab/>
        <w:tab/>
        <w:t xml:space="preserve">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24</cp:revision>
  <dcterms:created xsi:type="dcterms:W3CDTF">2024-10-25T06:26:00Z</dcterms:created>
  <dcterms:modified xsi:type="dcterms:W3CDTF">2026-07-23T10:11:20Z</dcterms:modified>
</cp:coreProperties>
</file>