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9"/>
        <w:ind w:right="0"/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_x005F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8"/>
                          <a:chOff x="0" y="0"/>
                          <a:chExt cx="6285960" cy="166175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0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5040"/>
                            <a:ext cx="1531800" cy="30419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29.07.2026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4600" y="1357560"/>
                            <a:ext cx="1081440" cy="304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0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13550;width:15318;height:3041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29.07.2026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446;top:13575;width:10814;height:3041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_x005F_x0000_s30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30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ё</w:t>
      </w:r>
      <w:r/>
    </w:p>
    <w:p>
      <w:pPr>
        <w:pStyle w:val="76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Положение об отраслевой </w:t>
      </w:r>
      <w:r>
        <w:rPr>
          <w:b/>
          <w:sz w:val="28"/>
          <w:szCs w:val="28"/>
        </w:rPr>
        <w:t xml:space="preserve">системе оплаты труда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работников муниципальных </w:t>
      </w:r>
      <w:r>
        <w:rPr>
          <w:b/>
          <w:sz w:val="28"/>
          <w:szCs w:val="28"/>
        </w:rPr>
        <w:t xml:space="preserve">автономных и бюджетных </w:t>
      </w:r>
      <w:r>
        <w:rPr>
          <w:b/>
          <w:sz w:val="28"/>
          <w:szCs w:val="28"/>
        </w:rPr>
        <w:t xml:space="preserve">учреждений в сфере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культуры, </w:t>
      </w:r>
      <w:r>
        <w:rPr>
          <w:b/>
          <w:sz w:val="28"/>
          <w:szCs w:val="28"/>
        </w:rPr>
        <w:t xml:space="preserve">молодежной политики </w:t>
      </w:r>
      <w:r>
        <w:rPr>
          <w:b/>
          <w:sz w:val="28"/>
          <w:szCs w:val="28"/>
        </w:rPr>
        <w:t xml:space="preserve">и муниципальных образовательных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учреждений дополнительного образования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детей в сфере культуры города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Перми,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утвержденное постановлением </w:t>
      </w:r>
      <w:r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города Перми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от 20.10.2009</w:t>
      </w:r>
      <w:r>
        <w:rPr>
          <w:b/>
          <w:sz w:val="28"/>
          <w:szCs w:val="28"/>
        </w:rPr>
        <w:t xml:space="preserve"> № 698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11"/>
        <w:contextualSpacing w:val="0"/>
        <w:jc w:val="left"/>
        <w:spacing w:before="0" w:after="0" w:line="283" w:lineRule="exact"/>
        <w:suppressLineNumbers w:val="0"/>
      </w:pPr>
      <w:r/>
      <w:r/>
    </w:p>
    <w:p>
      <w:pPr>
        <w:pStyle w:val="811"/>
        <w:spacing w:line="240" w:lineRule="exact"/>
      </w:pPr>
      <w:r/>
      <w:r/>
    </w:p>
    <w:p>
      <w:pPr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 xml:space="preserve">с Трудовым кодексом Российской Федерации, ф</w:t>
      </w:r>
      <w:r>
        <w:rPr>
          <w:rFonts w:eastAsia="Calibri"/>
          <w:bCs/>
          <w:sz w:val="28"/>
          <w:szCs w:val="28"/>
          <w:lang w:eastAsia="en-US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Федерации», от 20 марта </w:t>
      </w:r>
      <w:r>
        <w:rPr>
          <w:rFonts w:eastAsia="Calibri"/>
          <w:bCs/>
          <w:sz w:val="28"/>
          <w:szCs w:val="28"/>
          <w:lang w:eastAsia="en-US"/>
        </w:rPr>
        <w:t xml:space="preserve">2025 г. № 33-ФЗ «Об общих принципах организации местного самоуправления </w:t>
      </w:r>
      <w:r>
        <w:rPr>
          <w:rFonts w:eastAsia="Calibri"/>
          <w:bCs/>
          <w:sz w:val="28"/>
          <w:szCs w:val="28"/>
          <w:lang w:eastAsia="en-US"/>
        </w:rPr>
        <w:t xml:space="preserve">в единой системе публичной власти», </w:t>
      </w:r>
      <w:r>
        <w:rPr>
          <w:sz w:val="28"/>
          <w:szCs w:val="28"/>
        </w:rPr>
        <w:t xml:space="preserve">решением Пермской городской Думы </w:t>
      </w:r>
      <w:r>
        <w:rPr>
          <w:sz w:val="28"/>
          <w:szCs w:val="28"/>
        </w:rPr>
        <w:t xml:space="preserve">от 22 сентября 2009 г. № 209 «Об утверждении Положения об оплате труда работников муниципальных учреждений города Перми» </w:t>
      </w:r>
      <w:r/>
    </w:p>
    <w:p>
      <w:pPr>
        <w:jc w:val="both"/>
      </w:pPr>
      <w:r>
        <w:rPr>
          <w:sz w:val="28"/>
          <w:szCs w:val="24"/>
        </w:rPr>
        <w:t xml:space="preserve">администрация города Перми ПОСТАНОВЛЯЕТ:</w:t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/>
      <w:bookmarkStart w:id="0" w:name="_Hlk22633102"/>
      <w:r/>
      <w:bookmarkStart w:id="1" w:name="_Hlk22634235"/>
      <w:r>
        <w:rPr>
          <w:sz w:val="28"/>
          <w:szCs w:val="24"/>
        </w:rPr>
        <w:t xml:space="preserve">1. Утвердить прилагаемые изменения в Положение об отраслевой системе оплаты труда работников муниципальных авто</w:t>
      </w:r>
      <w:r>
        <w:rPr>
          <w:sz w:val="28"/>
          <w:szCs w:val="24"/>
        </w:rPr>
        <w:t xml:space="preserve">номных и бюджетных учреждений в сфере культуры, молодежной политики и муниципальных образовательных учреждений дополнительного образования детей в сфере культуры города Перми, утвержденное постановлением администрации города Перми от 20 октября 2009 г. № 6</w:t>
      </w:r>
      <w:bookmarkEnd w:id="0"/>
      <w:r>
        <w:rPr>
          <w:sz w:val="28"/>
          <w:szCs w:val="24"/>
        </w:rPr>
        <w:t xml:space="preserve">98 (в ред. от 04.10.2010 № 646, от 03.10.2012 № 581, от 24.02.2014 № 110, </w:t>
      </w:r>
      <w:r>
        <w:rPr>
          <w:sz w:val="28"/>
          <w:szCs w:val="24"/>
        </w:rPr>
        <w:br/>
        <w:t xml:space="preserve">от 29.09.2015 № 686, от 27.10.2016 № 961</w:t>
      </w:r>
      <w:bookmarkEnd w:id="1"/>
      <w:r>
        <w:rPr>
          <w:sz w:val="28"/>
          <w:szCs w:val="24"/>
        </w:rPr>
        <w:t xml:space="preserve">, от 27.12.2019 № 1118, от 23.12.2021 </w:t>
      </w:r>
      <w:r>
        <w:rPr>
          <w:sz w:val="28"/>
          <w:szCs w:val="24"/>
        </w:rPr>
        <w:br/>
        <w:t xml:space="preserve">№ 1191, от 29.04.2022 № 326, от 17.11.2022 № 1161, от 10.01.2023 </w:t>
      </w:r>
      <w:r>
        <w:rPr>
          <w:sz w:val="28"/>
          <w:szCs w:val="24"/>
        </w:rPr>
        <w:t xml:space="preserve">№ </w:t>
      </w:r>
      <w:r>
        <w:rPr>
          <w:sz w:val="28"/>
          <w:szCs w:val="24"/>
        </w:rPr>
        <w:t xml:space="preserve">8, от 11.05.2023 № 370, от 11.10.2023 № 974, от 10.01.2024 № 2, от 25.07.2024 № 604, от 16.09.2024 № 770, от 17.10.2024 № 911, от 20.11.2024 № 1107, от 24.02.2025 № 104, </w:t>
        <w:br/>
        <w:t xml:space="preserve">от 05.05.2025 № 288, от 26.08.2025 № 572, от 21.10.2025 № 863, от 20.05.2026 </w:t>
        <w:br/>
        <w:t xml:space="preserve">№ 294).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216" behindDoc="1" locked="0" layoutInCell="1" allowOverlap="1">
                <wp:simplePos x="0" y="0"/>
                <wp:positionH relativeFrom="column">
                  <wp:posOffset>-814680</wp:posOffset>
                </wp:positionH>
                <wp:positionV relativeFrom="paragraph">
                  <wp:posOffset>-608507</wp:posOffset>
                </wp:positionV>
                <wp:extent cx="7376583" cy="10466917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7376582" cy="104669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-9216;o:allowoverlap:true;o:allowincell:true;mso-position-horizontal-relative:text;margin-left:-64.15pt;mso-position-horizontal:absolute;mso-position-vertical-relative:text;margin-top:-47.91pt;mso-position-vertical:absolute;width:580.83pt;height:824.17pt;mso-wrap-distance-left:9.07pt;mso-wrap-distance-top:0.00pt;mso-wrap-distance-right:9.07pt;mso-wrap-distance-bottom:0.00pt;rotation:0;visibility:visible;" filled="f" strokecolor="#FFFFFF" strokeweight="2.25pt">
                <v:stroke dashstyle="solid"/>
              </v:shape>
            </w:pict>
          </mc:Fallback>
        </mc:AlternateContent>
      </w: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</w:t>
      </w:r>
      <w:r>
        <w:rPr>
          <w:sz w:val="28"/>
          <w:szCs w:val="28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  <w:r>
        <w:rPr>
          <w:color w:val="2c2d2e"/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rFonts w:eastAsia="Calibri"/>
          <w:sz w:val="28"/>
          <w:szCs w:val="28"/>
        </w:rPr>
        <w:outlineLvl w:val="1"/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69"/>
        <w:spacing w:line="240" w:lineRule="exact"/>
        <w:rPr>
          <w:rFonts w:eastAsia="Calibri"/>
          <w:sz w:val="28"/>
          <w:szCs w:val="28"/>
        </w:rPr>
        <w:sectPr>
          <w:headerReference w:type="default" r:id="rId9"/>
          <w:headerReference w:type="first" r:id="rId10"/>
          <w:footerReference w:type="first" r:id="rId12"/>
          <w:footnotePr>
            <w:numRestart w:val="eachSect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  <w:outlineLvl w:val="1"/>
      </w:pPr>
      <w:r>
        <w:rPr>
          <w:rFonts w:eastAsia="Calibri"/>
          <w:sz w:val="28"/>
          <w:szCs w:val="22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69"/>
        <w:spacing w:line="240" w:lineRule="exact"/>
        <w:rPr>
          <w:rFonts w:eastAsia="Calibri"/>
          <w:sz w:val="28"/>
          <w:szCs w:val="28"/>
        </w:rPr>
        <w:outlineLvl w:val="1"/>
      </w:pPr>
      <w:r>
        <w:rPr>
          <w:rFonts w:eastAsia="Calibri"/>
          <w:sz w:val="28"/>
          <w:szCs w:val="22"/>
        </w:rPr>
        <w:t xml:space="preserve">УТВЕРЖДЕНЫ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69"/>
        <w:spacing w:line="240" w:lineRule="exact"/>
        <w:rPr>
          <w:rFonts w:eastAsia="Calibri"/>
          <w:sz w:val="28"/>
          <w:szCs w:val="22"/>
        </w:rPr>
        <w:outlineLvl w:val="1"/>
      </w:pPr>
      <w:r>
        <w:rPr>
          <w:rFonts w:eastAsia="Calibri"/>
          <w:sz w:val="28"/>
          <w:szCs w:val="22"/>
        </w:rPr>
        <w:t xml:space="preserve">постановлением администрации</w:t>
      </w:r>
      <w:r>
        <w:rPr>
          <w:rFonts w:eastAsia="Calibri"/>
          <w:sz w:val="28"/>
          <w:szCs w:val="22"/>
        </w:rPr>
      </w:r>
      <w:r>
        <w:rPr>
          <w:rFonts w:eastAsia="Calibri"/>
          <w:sz w:val="28"/>
          <w:szCs w:val="22"/>
        </w:rPr>
      </w:r>
    </w:p>
    <w:p>
      <w:pPr>
        <w:ind w:left="5669"/>
        <w:spacing w:line="240" w:lineRule="exact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 xml:space="preserve">города Перми</w:t>
      </w:r>
      <w:r>
        <w:rPr>
          <w:rFonts w:eastAsia="Calibri"/>
          <w:sz w:val="28"/>
          <w:szCs w:val="22"/>
        </w:rPr>
      </w:r>
      <w:r>
        <w:rPr>
          <w:rFonts w:eastAsia="Calibri"/>
          <w:sz w:val="28"/>
          <w:szCs w:val="22"/>
        </w:rPr>
      </w:r>
    </w:p>
    <w:p>
      <w:pPr>
        <w:ind w:left="5669"/>
        <w:spacing w:line="240" w:lineRule="exact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 xml:space="preserve">от </w:t>
      </w:r>
      <w:r>
        <w:rPr>
          <w:rFonts w:eastAsia="Calibri"/>
          <w:sz w:val="28"/>
          <w:szCs w:val="22"/>
        </w:rPr>
        <w:t xml:space="preserve">29.07.2026 № 451</w:t>
      </w:r>
      <w:r>
        <w:rPr>
          <w:rFonts w:eastAsia="Calibri"/>
          <w:sz w:val="28"/>
          <w:szCs w:val="22"/>
        </w:rPr>
      </w:r>
    </w:p>
    <w:p>
      <w:pPr>
        <w:ind w:left="0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left"/>
        <w:spacing w:line="240" w:lineRule="auto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</w:r>
      <w:r>
        <w:rPr>
          <w:b w:val="0"/>
          <w:bCs w:val="0"/>
          <w:sz w:val="28"/>
          <w:szCs w:val="24"/>
        </w:rPr>
      </w:r>
      <w:r>
        <w:rPr>
          <w:b w:val="0"/>
          <w:bCs w:val="0"/>
          <w:sz w:val="28"/>
          <w:szCs w:val="24"/>
        </w:rPr>
      </w:r>
    </w:p>
    <w:p>
      <w:pPr>
        <w:ind w:firstLine="0"/>
        <w:jc w:val="center"/>
        <w:spacing w:line="238" w:lineRule="exact"/>
        <w:rPr>
          <w:b/>
          <w:sz w:val="28"/>
          <w:szCs w:val="24"/>
        </w:rPr>
        <w:suppressLineNumbers w:val="0"/>
      </w:pPr>
      <w:r>
        <w:rPr>
          <w:b/>
          <w:sz w:val="28"/>
          <w:szCs w:val="24"/>
        </w:rPr>
        <w:t xml:space="preserve">ИЗМЕНЕНИЯ</w:t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ind w:firstLine="0"/>
        <w:jc w:val="center"/>
        <w:spacing w:line="238" w:lineRule="exact"/>
        <w:rPr>
          <w:b/>
          <w:sz w:val="28"/>
          <w:szCs w:val="24"/>
        </w:rPr>
        <w:suppressLineNumbers w:val="0"/>
      </w:pPr>
      <w:r>
        <w:rPr>
          <w:b/>
          <w:sz w:val="28"/>
          <w:szCs w:val="24"/>
        </w:rPr>
        <w:t xml:space="preserve">в Положение об отраслевой системе оплаты труда</w:t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ind w:firstLine="0"/>
        <w:jc w:val="center"/>
        <w:spacing w:line="238" w:lineRule="exact"/>
        <w:rPr>
          <w:b/>
          <w:sz w:val="28"/>
          <w:szCs w:val="24"/>
        </w:rPr>
        <w:suppressLineNumbers w:val="0"/>
      </w:pPr>
      <w:r>
        <w:rPr>
          <w:b/>
          <w:sz w:val="28"/>
          <w:szCs w:val="24"/>
        </w:rPr>
        <w:t xml:space="preserve">работников муниципальных автономных и бюджетных учреждений</w:t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4"/>
        </w:rPr>
        <w:t xml:space="preserve">в сфере культуры, молодежной политики и муниципальных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4"/>
        </w:rPr>
        <w:t xml:space="preserve">образовательных учреждений дополнительного образования детей в сфере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4"/>
        </w:rPr>
        <w:t xml:space="preserve">культуры города Перми, утвержденное постановлением администрации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sz w:val="28"/>
          <w:szCs w:val="28"/>
        </w:rPr>
        <w:suppressLineNumbers w:val="0"/>
      </w:pPr>
      <w:r>
        <w:rPr>
          <w:b/>
          <w:sz w:val="28"/>
          <w:szCs w:val="24"/>
        </w:rPr>
        <w:t xml:space="preserve">города Перми от 20 октября 2009 г. № 698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238" w:lineRule="exact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1. </w:t>
      </w:r>
      <w:r>
        <w:rPr>
          <w:sz w:val="28"/>
          <w:szCs w:val="24"/>
          <w:highlight w:val="white"/>
        </w:rPr>
        <w:t xml:space="preserve">Пункт 2.9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дополнить абзацем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«специалист по охране труда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4"/>
          <w:highlight w:val="white"/>
        </w:rPr>
        <w:t xml:space="preserve">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2</w:t>
      </w:r>
      <w:r>
        <w:rPr>
          <w:sz w:val="28"/>
          <w:szCs w:val="24"/>
          <w:highlight w:val="white"/>
        </w:rPr>
        <w:t xml:space="preserve">. Пункт 3.1.1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дополнить абзацем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«специалист по охране труда </w:t>
      </w:r>
      <w:r>
        <w:rPr>
          <w:rFonts w:hint="default" w:ascii="Times New Roman" w:hAnsi="Times New Roman" w:eastAsia="Times New Roman" w:cs="Times New Roman"/>
          <w:sz w:val="28"/>
          <w:szCs w:val="24"/>
          <w:highlight w:val="white"/>
        </w:rPr>
        <w:t xml:space="preserve">–</w:t>
      </w:r>
      <w:r>
        <w:rPr>
          <w:sz w:val="28"/>
          <w:szCs w:val="24"/>
          <w:highlight w:val="white"/>
        </w:rPr>
        <w:t xml:space="preserve"> 19 844 руб.»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3</w:t>
      </w:r>
      <w:r>
        <w:rPr>
          <w:sz w:val="28"/>
          <w:szCs w:val="24"/>
          <w:highlight w:val="white"/>
        </w:rPr>
        <w:t xml:space="preserve">. Пункт 3.1.1</w:t>
      </w:r>
      <w:r>
        <w:rPr>
          <w:rStyle w:val="754"/>
          <w:sz w:val="28"/>
          <w:szCs w:val="28"/>
          <w:highlight w:val="white"/>
        </w:rPr>
        <w:t xml:space="preserve">1</w:t>
      </w:r>
      <w:r>
        <w:rPr>
          <w:sz w:val="28"/>
          <w:szCs w:val="24"/>
          <w:highlight w:val="white"/>
        </w:rPr>
        <w:t xml:space="preserve"> дополнить абзацем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4"/>
          <w:highlight w:val="white"/>
        </w:rPr>
      </w:pPr>
      <w:r>
        <w:rPr>
          <w:sz w:val="28"/>
          <w:szCs w:val="24"/>
          <w:highlight w:val="white"/>
        </w:rPr>
        <w:t xml:space="preserve">«специалист по охране труда </w:t>
      </w:r>
      <w:r>
        <w:rPr>
          <w:rFonts w:hint="default" w:ascii="Times New Roman" w:hAnsi="Times New Roman" w:eastAsia="Times New Roman" w:cs="Times New Roman"/>
          <w:sz w:val="28"/>
          <w:szCs w:val="24"/>
          <w:highlight w:val="white"/>
        </w:rPr>
        <w:t xml:space="preserve">–</w:t>
      </w:r>
      <w:r>
        <w:rPr>
          <w:sz w:val="28"/>
          <w:szCs w:val="24"/>
          <w:highlight w:val="white"/>
        </w:rPr>
        <w:t xml:space="preserve"> 23 239 руб.»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4"/>
          <w:highlight w:val="white"/>
        </w:rPr>
      </w:r>
      <w:r>
        <w:rPr>
          <w:sz w:val="28"/>
          <w:szCs w:val="24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4</w:t>
      </w:r>
      <w:r>
        <w:rPr>
          <w:sz w:val="28"/>
          <w:szCs w:val="24"/>
          <w:highlight w:val="white"/>
        </w:rPr>
        <w:t xml:space="preserve">. Пункт 3.1.1</w:t>
      </w:r>
      <w:r>
        <w:rPr>
          <w:rStyle w:val="754"/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дополнить абзацем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«специалист по охране труда </w:t>
      </w:r>
      <w:r>
        <w:rPr>
          <w:rFonts w:hint="default" w:ascii="Times New Roman" w:hAnsi="Times New Roman" w:eastAsia="Times New Roman" w:cs="Times New Roman"/>
          <w:sz w:val="28"/>
          <w:szCs w:val="24"/>
          <w:highlight w:val="white"/>
        </w:rPr>
        <w:t xml:space="preserve">–</w:t>
      </w:r>
      <w:r>
        <w:rPr>
          <w:sz w:val="28"/>
          <w:szCs w:val="24"/>
          <w:highlight w:val="white"/>
        </w:rPr>
        <w:t xml:space="preserve"> 12 908 руб.»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4"/>
          <w:highlight w:val="white"/>
        </w:rPr>
      </w:pPr>
      <w:r>
        <w:rPr>
          <w:sz w:val="28"/>
          <w:szCs w:val="24"/>
          <w:highlight w:val="white"/>
        </w:rPr>
        <w:t xml:space="preserve">5</w:t>
      </w:r>
      <w:r>
        <w:rPr>
          <w:sz w:val="28"/>
          <w:szCs w:val="24"/>
          <w:highlight w:val="white"/>
        </w:rPr>
        <w:t xml:space="preserve">. </w:t>
      </w:r>
      <w:r>
        <w:rPr>
          <w:sz w:val="28"/>
          <w:szCs w:val="24"/>
          <w:highlight w:val="white"/>
        </w:rPr>
        <w:t xml:space="preserve">В</w:t>
      </w:r>
      <w:r>
        <w:rPr>
          <w:sz w:val="28"/>
          <w:szCs w:val="24"/>
          <w:highlight w:val="white"/>
        </w:rPr>
        <w:t xml:space="preserve"> пункте </w:t>
      </w:r>
      <w:r>
        <w:rPr>
          <w:sz w:val="28"/>
          <w:szCs w:val="24"/>
          <w:highlight w:val="white"/>
        </w:rPr>
        <w:t xml:space="preserve">3.1.1</w:t>
      </w:r>
      <w:r>
        <w:rPr>
          <w:sz w:val="28"/>
          <w:szCs w:val="24"/>
          <w:highlight w:val="white"/>
          <w:vertAlign w:val="superscript"/>
        </w:rPr>
        <w:t xml:space="preserve">4</w:t>
      </w:r>
      <w:r>
        <w:rPr>
          <w:sz w:val="28"/>
          <w:szCs w:val="24"/>
          <w:highlight w:val="white"/>
          <w:vertAlign w:val="baseline"/>
        </w:rPr>
        <w:t xml:space="preserve"> </w:t>
      </w:r>
      <w:r>
        <w:rPr>
          <w:sz w:val="28"/>
          <w:szCs w:val="24"/>
          <w:highlight w:val="white"/>
        </w:rPr>
        <w:t xml:space="preserve">аббревиатуру</w:t>
      </w:r>
      <w:r>
        <w:rPr>
          <w:sz w:val="28"/>
          <w:szCs w:val="24"/>
          <w:highlight w:val="white"/>
        </w:rPr>
        <w:t xml:space="preserve"> «ПГК» заменить </w:t>
      </w:r>
      <w:r>
        <w:rPr>
          <w:sz w:val="28"/>
          <w:szCs w:val="24"/>
          <w:highlight w:val="white"/>
        </w:rPr>
        <w:t xml:space="preserve">аббревиатур</w:t>
      </w:r>
      <w:r>
        <w:rPr>
          <w:sz w:val="28"/>
          <w:szCs w:val="24"/>
          <w:highlight w:val="white"/>
        </w:rPr>
        <w:t xml:space="preserve">ой</w:t>
      </w:r>
      <w:r>
        <w:rPr>
          <w:sz w:val="28"/>
          <w:szCs w:val="24"/>
          <w:highlight w:val="white"/>
        </w:rPr>
        <w:t xml:space="preserve"> «ПКГ».</w:t>
      </w:r>
      <w:r>
        <w:rPr>
          <w:sz w:val="28"/>
          <w:szCs w:val="24"/>
          <w:highlight w:val="white"/>
        </w:rPr>
      </w:r>
      <w:r>
        <w:rPr>
          <w:sz w:val="28"/>
          <w:szCs w:val="24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6</w:t>
      </w:r>
      <w:r>
        <w:rPr>
          <w:sz w:val="28"/>
          <w:szCs w:val="24"/>
          <w:highlight w:val="white"/>
        </w:rPr>
        <w:t xml:space="preserve">. В пункте 3.1.6 аббревиатуру «ПГК» заменить </w:t>
      </w:r>
      <w:r>
        <w:rPr>
          <w:sz w:val="28"/>
          <w:szCs w:val="24"/>
          <w:highlight w:val="white"/>
        </w:rPr>
        <w:t xml:space="preserve">аббревиатур</w:t>
      </w:r>
      <w:r>
        <w:rPr>
          <w:sz w:val="28"/>
          <w:szCs w:val="24"/>
          <w:highlight w:val="white"/>
        </w:rPr>
        <w:t xml:space="preserve">ой</w:t>
      </w:r>
      <w:r>
        <w:rPr>
          <w:sz w:val="28"/>
          <w:szCs w:val="24"/>
          <w:highlight w:val="white"/>
        </w:rPr>
        <w:t xml:space="preserve"> «ПКГ».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7</w:t>
      </w:r>
      <w:r>
        <w:rPr>
          <w:sz w:val="28"/>
          <w:szCs w:val="24"/>
          <w:highlight w:val="white"/>
        </w:rPr>
        <w:t xml:space="preserve">. </w:t>
      </w:r>
      <w:r>
        <w:rPr>
          <w:sz w:val="28"/>
          <w:szCs w:val="24"/>
          <w:highlight w:val="white"/>
        </w:rPr>
        <w:t xml:space="preserve">В</w:t>
      </w:r>
      <w:r>
        <w:rPr>
          <w:sz w:val="28"/>
          <w:szCs w:val="24"/>
          <w:highlight w:val="white"/>
        </w:rPr>
        <w:t xml:space="preserve"> пункт</w:t>
      </w:r>
      <w:r>
        <w:rPr>
          <w:sz w:val="28"/>
          <w:szCs w:val="24"/>
          <w:highlight w:val="white"/>
        </w:rPr>
        <w:t xml:space="preserve">е</w:t>
      </w:r>
      <w:r>
        <w:rPr>
          <w:sz w:val="28"/>
          <w:szCs w:val="24"/>
          <w:highlight w:val="white"/>
        </w:rPr>
        <w:t xml:space="preserve"> 3.2.3 аббревиатуру «ПГК» заменить </w:t>
      </w:r>
      <w:r>
        <w:rPr>
          <w:sz w:val="28"/>
          <w:szCs w:val="24"/>
          <w:highlight w:val="white"/>
        </w:rPr>
        <w:t xml:space="preserve">аббревиатур</w:t>
      </w:r>
      <w:r>
        <w:rPr>
          <w:sz w:val="28"/>
          <w:szCs w:val="24"/>
          <w:highlight w:val="white"/>
        </w:rPr>
        <w:t xml:space="preserve">ой</w:t>
      </w:r>
      <w:r>
        <w:rPr>
          <w:sz w:val="28"/>
          <w:szCs w:val="24"/>
          <w:highlight w:val="white"/>
        </w:rPr>
        <w:t xml:space="preserve"> «ПКГ»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8. Пункт 4.1.1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дополнить абзацем следующего содержания: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«специалист по охране труда </w:t>
      </w:r>
      <w:r>
        <w:rPr>
          <w:rFonts w:hint="default" w:ascii="Times New Roman" w:hAnsi="Times New Roman" w:eastAsia="Times New Roman" w:cs="Times New Roman"/>
          <w:sz w:val="28"/>
          <w:szCs w:val="24"/>
          <w:highlight w:val="white"/>
        </w:rPr>
        <w:t xml:space="preserve">–</w:t>
      </w:r>
      <w:r>
        <w:rPr>
          <w:sz w:val="28"/>
          <w:szCs w:val="24"/>
          <w:highlight w:val="white"/>
        </w:rPr>
        <w:t xml:space="preserve"> 12 394 руб.»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9. </w:t>
      </w:r>
      <w:r>
        <w:rPr>
          <w:sz w:val="28"/>
          <w:szCs w:val="24"/>
          <w:highlight w:val="white"/>
        </w:rPr>
        <w:t xml:space="preserve">В</w:t>
      </w:r>
      <w:r>
        <w:rPr>
          <w:sz w:val="28"/>
          <w:szCs w:val="24"/>
          <w:highlight w:val="white"/>
        </w:rPr>
        <w:t xml:space="preserve"> пункт</w:t>
      </w:r>
      <w:r>
        <w:rPr>
          <w:sz w:val="28"/>
          <w:szCs w:val="24"/>
          <w:highlight w:val="white"/>
        </w:rPr>
        <w:t xml:space="preserve">е</w:t>
      </w:r>
      <w:r>
        <w:rPr>
          <w:sz w:val="28"/>
          <w:szCs w:val="24"/>
          <w:highlight w:val="white"/>
        </w:rPr>
        <w:t xml:space="preserve"> 4.1.6 аббревиатуру «ПГК» заменить </w:t>
      </w:r>
      <w:r>
        <w:rPr>
          <w:sz w:val="28"/>
          <w:szCs w:val="24"/>
          <w:highlight w:val="white"/>
        </w:rPr>
        <w:t xml:space="preserve">аббревиатур</w:t>
      </w:r>
      <w:r>
        <w:rPr>
          <w:sz w:val="28"/>
          <w:szCs w:val="24"/>
          <w:highlight w:val="white"/>
        </w:rPr>
        <w:t xml:space="preserve">о</w:t>
      </w:r>
      <w:r>
        <w:rPr>
          <w:sz w:val="28"/>
          <w:szCs w:val="24"/>
          <w:highlight w:val="white"/>
        </w:rPr>
        <w:t xml:space="preserve">й</w:t>
      </w:r>
      <w:r>
        <w:rPr>
          <w:sz w:val="28"/>
          <w:szCs w:val="24"/>
          <w:highlight w:val="white"/>
        </w:rPr>
        <w:t xml:space="preserve"> «ПКГ»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10. </w:t>
      </w:r>
      <w:r>
        <w:rPr>
          <w:sz w:val="28"/>
          <w:szCs w:val="24"/>
          <w:highlight w:val="white"/>
        </w:rPr>
        <w:t xml:space="preserve">В</w:t>
      </w:r>
      <w:r>
        <w:rPr>
          <w:sz w:val="28"/>
          <w:szCs w:val="24"/>
          <w:highlight w:val="white"/>
        </w:rPr>
        <w:t xml:space="preserve"> пункт</w:t>
      </w:r>
      <w:r>
        <w:rPr>
          <w:sz w:val="28"/>
          <w:szCs w:val="24"/>
          <w:highlight w:val="white"/>
        </w:rPr>
        <w:t xml:space="preserve">е</w:t>
      </w:r>
      <w:r>
        <w:rPr>
          <w:sz w:val="28"/>
          <w:szCs w:val="24"/>
          <w:highlight w:val="white"/>
        </w:rPr>
        <w:t xml:space="preserve"> 4.2.5 аббревиатуру «ПГК» заменить </w:t>
      </w:r>
      <w:r>
        <w:rPr>
          <w:sz w:val="28"/>
          <w:szCs w:val="24"/>
          <w:highlight w:val="white"/>
        </w:rPr>
        <w:t xml:space="preserve">аббревиатур</w:t>
      </w:r>
      <w:r>
        <w:rPr>
          <w:sz w:val="28"/>
          <w:szCs w:val="24"/>
          <w:highlight w:val="white"/>
        </w:rPr>
        <w:t xml:space="preserve">о</w:t>
      </w:r>
      <w:r>
        <w:rPr>
          <w:sz w:val="28"/>
          <w:szCs w:val="24"/>
          <w:highlight w:val="white"/>
        </w:rPr>
        <w:t xml:space="preserve">й</w:t>
      </w:r>
      <w:r>
        <w:rPr>
          <w:sz w:val="28"/>
          <w:szCs w:val="24"/>
          <w:highlight w:val="white"/>
        </w:rPr>
        <w:t xml:space="preserve"> «ПКГ»</w:t>
      </w:r>
      <w:r>
        <w:rPr>
          <w:sz w:val="28"/>
          <w:szCs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пункте 6.5 слова «по видам экономической деятельности»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12. </w:t>
      </w:r>
      <w:r>
        <w:rPr>
          <w:sz w:val="28"/>
          <w:szCs w:val="24"/>
        </w:rPr>
        <w:t xml:space="preserve">В</w:t>
      </w:r>
      <w:r>
        <w:rPr>
          <w:sz w:val="28"/>
          <w:szCs w:val="24"/>
        </w:rPr>
        <w:t xml:space="preserve"> приложении 2: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0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12.1. в </w:t>
      </w:r>
      <w:r>
        <w:rPr>
          <w:sz w:val="28"/>
          <w:szCs w:val="28"/>
        </w:rPr>
        <w:t xml:space="preserve">графе 2 </w:t>
      </w:r>
      <w:r>
        <w:rPr>
          <w:sz w:val="28"/>
          <w:szCs w:val="28"/>
        </w:rPr>
        <w:t xml:space="preserve">строк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5.8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«начальник отдела (в соответствии с направлением деятельности)»</w:t>
      </w:r>
      <w:r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12.2. дополнить строкой 8.2 следующего содержания:</w:t>
      </w:r>
      <w:r>
        <w:rPr>
          <w:sz w:val="28"/>
          <w:szCs w:val="24"/>
        </w:rPr>
      </w:r>
      <w:r>
        <w:rPr>
          <w:sz w:val="28"/>
          <w:szCs w:val="24"/>
        </w:rPr>
      </w:r>
    </w:p>
    <w:tbl>
      <w:tblPr>
        <w:tblStyle w:val="873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3827"/>
        <w:gridCol w:w="1417"/>
        <w:gridCol w:w="1559"/>
        <w:gridCol w:w="1417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(в соответствии </w:t>
            </w:r>
            <w:r>
              <w:rPr>
                <w:sz w:val="28"/>
                <w:szCs w:val="28"/>
              </w:rPr>
              <w:t xml:space="preserve">с направлением </w:t>
            </w:r>
            <w:r>
              <w:rPr>
                <w:sz w:val="28"/>
                <w:szCs w:val="28"/>
              </w:rPr>
              <w:t xml:space="preserve">деятельности)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25 075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18 056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16 570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14 791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12.3. </w:t>
      </w:r>
      <w:r>
        <w:rPr>
          <w:sz w:val="28"/>
          <w:szCs w:val="24"/>
        </w:rPr>
        <w:t xml:space="preserve">в графе 2 строки 1</w:t>
      </w:r>
      <w:r>
        <w:rPr>
          <w:sz w:val="28"/>
          <w:szCs w:val="24"/>
        </w:rPr>
        <w:t xml:space="preserve">0.6</w:t>
      </w:r>
      <w:r>
        <w:rPr>
          <w:sz w:val="28"/>
          <w:szCs w:val="24"/>
        </w:rPr>
        <w:t xml:space="preserve"> слова «</w:t>
      </w:r>
      <w:r>
        <w:rPr>
          <w:sz w:val="28"/>
          <w:szCs w:val="24"/>
        </w:rPr>
        <w:t xml:space="preserve">специалист по охране труда» заменить словами «</w:t>
      </w:r>
      <w:r>
        <w:rPr>
          <w:sz w:val="28"/>
          <w:szCs w:val="24"/>
        </w:rPr>
        <w:t xml:space="preserve">специалист по охране труда</w:t>
      </w:r>
      <w:r>
        <w:rPr>
          <w:sz w:val="28"/>
          <w:szCs w:val="24"/>
          <w:vertAlign w:val="superscript"/>
        </w:rPr>
        <w:t xml:space="preserve">2</w:t>
      </w:r>
      <w:r>
        <w:rPr>
          <w:sz w:val="28"/>
          <w:szCs w:val="24"/>
        </w:rPr>
        <w:t xml:space="preserve">»</w:t>
      </w:r>
      <w:r>
        <w:rPr>
          <w:sz w:val="28"/>
          <w:szCs w:val="24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4"/>
        </w:rPr>
      </w:r>
      <w:r>
        <w:rPr>
          <w:sz w:val="28"/>
          <w:szCs w:val="24"/>
        </w:rPr>
        <w:t xml:space="preserve">13. </w:t>
      </w:r>
      <w:r>
        <w:rPr>
          <w:sz w:val="28"/>
          <w:szCs w:val="24"/>
        </w:rPr>
        <w:t xml:space="preserve">П</w:t>
      </w:r>
      <w:r>
        <w:rPr>
          <w:sz w:val="28"/>
          <w:szCs w:val="24"/>
        </w:rPr>
        <w:t xml:space="preserve">риложение 5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1" locked="0" layoutInCell="1" allowOverlap="1">
                <wp:simplePos x="0" y="0"/>
                <wp:positionH relativeFrom="column">
                  <wp:posOffset>-825263</wp:posOffset>
                </wp:positionH>
                <wp:positionV relativeFrom="paragraph">
                  <wp:posOffset>947510</wp:posOffset>
                </wp:positionV>
                <wp:extent cx="3017933" cy="8921483"/>
                <wp:effectExtent l="14287" t="14287" r="14287" b="14287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3017932" cy="89214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-7168;o:allowoverlap:true;o:allowincell:true;mso-position-horizontal-relative:text;margin-left:-64.98pt;mso-position-horizontal:absolute;mso-position-vertical-relative:text;margin-top:74.61pt;mso-position-vertical:absolute;width:237.63pt;height:702.48pt;mso-wrap-distance-left:9.07pt;mso-wrap-distance-top:0.00pt;mso-wrap-distance-right:9.07pt;mso-wrap-distance-bottom:0.00pt;rotation:0;visibility:visible;" filled="f" strokecolor="#FFFFFF" strokeweight="2.25pt">
                <v:stroke dashstyle="solid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ПЕРЕЧЕНЬ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должностей работников, относимых к основному персоналу,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расчета средней заработной платы и определения размеров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должностных окладов руководителей муниципальных учреждений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сфере культуры, молодежной политики, муниципальных образовательных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учреждений дополнительного образования детей в сфере культуры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4"/>
        </w:rPr>
      </w:pPr>
      <w:r>
        <w:rPr>
          <w:b/>
          <w:bCs/>
          <w:sz w:val="28"/>
          <w:szCs w:val="28"/>
        </w:rPr>
        <w:t xml:space="preserve">города Перми </w:t>
      </w:r>
      <w:r>
        <w:rPr>
          <w:b/>
          <w:bCs/>
          <w:sz w:val="28"/>
          <w:szCs w:val="24"/>
        </w:rPr>
      </w:r>
      <w:r>
        <w:rPr>
          <w:b/>
          <w:bCs/>
          <w:sz w:val="28"/>
          <w:szCs w:val="24"/>
        </w:rPr>
      </w:r>
    </w:p>
    <w:p>
      <w:pPr>
        <w:ind w:left="0"/>
        <w:spacing w:line="240" w:lineRule="exact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</w:r>
      <w:r>
        <w:rPr>
          <w:b w:val="0"/>
          <w:bCs w:val="0"/>
          <w:sz w:val="28"/>
          <w:szCs w:val="24"/>
        </w:rPr>
      </w:r>
      <w:r>
        <w:rPr>
          <w:b w:val="0"/>
          <w:bCs w:val="0"/>
          <w:sz w:val="28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Перечень должностей работников, относимых к основному персоналу, для расчета заработной п</w:t>
      </w:r>
      <w:r>
        <w:rPr>
          <w:sz w:val="28"/>
          <w:szCs w:val="28"/>
        </w:rPr>
        <w:t xml:space="preserve">латы и определения размеров должностных окладов руководителей культурно-досуговых учреждений (дворцы и клубы), учреждения молодежной политики, библиотек, планетария, парка культуры и отдыха, дирекции по организации городских культурно-массовых мероприятий: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балетмейстер;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библиограф;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библиотекарь;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в отделе, отделении, мастерской, осуществляющих основную деятельность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дирижер;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звукооператор;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культорганизатор;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научный сотрудник;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экскурсий;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режиссер;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кружка (клуба по интересам, коллектива, любительского объединения, секции, студии);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смотритель музейный;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специалист (по направлению деятельности);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администратор;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ученый секретарь;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хормейстер;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хранитель фондов;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художник-реставратор;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экскурсовод.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2. Перечень должностей работников, относимых к основному персоналу, для расчета заработной платы и определения размеров должностных окладов руководителей муниципальных учреждений, осуществляющих концертную деятельность: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 балета ансамбля песни и танца, танцевального коллектива;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артист-вокалист (солист);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 оркестра ансамбля песни и танца, артист эстрадного оркестра (ансамбля);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 хора ансамбля песни и танца, хорового коллектива;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артисты – концертные исполнители (всех жанров);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артист-солист-инструменталист;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артист хора;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звукооператор;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лектор-искусствовед (музыковед);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редактор;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репетитор по балету (вокалу);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репетитор по технике речи;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чтец – мастер художественного слова.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Перечень должностей работников, относимых к основному персоналу, для расчета зара</w:t>
      </w:r>
      <w:r>
        <w:rPr>
          <w:sz w:val="28"/>
          <w:szCs w:val="28"/>
        </w:rPr>
        <w:t xml:space="preserve">ботной платы и определения размеров должностных окладов руководителей муниципальных учреждений, осуществляющих деятельность в сфере сохранения, использования и популяризации объектов культурного наследия (памятников истории и культуры) и выставочного зала: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архитектор;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главный специалист в отделе, отделении, мастерской, осуществляющих основную деятельность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инженер (по направлению деятельности);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(по направлению деятельности).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Перечень должностей работников, относимых к основному персоналу, для расчета средней заработной платы и определения размеров должностных окладов руководителей муниципальных образовательных учреждений дополнительного образования детей сферы культуры: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концертмейстер;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/>
      <w:r/>
    </w:p>
    <w:sectPr>
      <w:headerReference w:type="first" r:id="rId11"/>
      <w:footnotePr>
        <w:numRestart w:val="eachSect"/>
      </w:footnotePr>
      <w:endnotePr/>
      <w:type w:val="nextPage"/>
      <w:pgSz w:w="11906" w:h="16838" w:orient="portrait"/>
      <w:pgMar w:top="1134" w:right="567" w:bottom="1134" w:left="1418" w:header="363" w:footer="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WenQuanYi Micro Hei">
    <w:panose1 w:val="020B060603080402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contextualSpacing w:val="0"/>
      <w:jc w:val="center"/>
      <w:shd w:val="clear" w:color="ffffff" w:themeColor="background1" w:fill="ffffff"/>
      <w:rPr>
        <w:sz w:val="28"/>
        <w:szCs w:val="28"/>
      </w:rPr>
      <w:suppressLineNumbers w:val="0"/>
    </w:pPr>
    <w:r>
      <w:rPr>
        <w:sz w:val="28"/>
        <w:szCs w:val="28"/>
      </w:rPr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qFormat/>
    <w:rPr>
      <w:lang w:eastAsia="ru-RU"/>
    </w:rPr>
  </w:style>
  <w:style w:type="paragraph" w:styleId="709">
    <w:name w:val="Heading 1"/>
    <w:basedOn w:val="708"/>
    <w:next w:val="708"/>
    <w:link w:val="735"/>
    <w:qFormat/>
    <w:pPr>
      <w:ind w:right="-1" w:firstLine="709"/>
      <w:jc w:val="both"/>
      <w:keepNext/>
      <w:outlineLvl w:val="0"/>
    </w:pPr>
    <w:rPr>
      <w:sz w:val="24"/>
    </w:rPr>
  </w:style>
  <w:style w:type="paragraph" w:styleId="710">
    <w:name w:val="Heading 2"/>
    <w:basedOn w:val="708"/>
    <w:next w:val="708"/>
    <w:link w:val="736"/>
    <w:qFormat/>
    <w:pPr>
      <w:ind w:right="-1"/>
      <w:jc w:val="both"/>
      <w:keepNext/>
      <w:outlineLvl w:val="1"/>
    </w:pPr>
    <w:rPr>
      <w:sz w:val="24"/>
    </w:rPr>
  </w:style>
  <w:style w:type="paragraph" w:styleId="711">
    <w:name w:val="Heading 3"/>
    <w:basedOn w:val="708"/>
    <w:next w:val="708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Caption Char"/>
    <w:basedOn w:val="718"/>
    <w:uiPriority w:val="35"/>
    <w:qFormat/>
    <w:rPr>
      <w:b/>
      <w:bCs/>
      <w:color w:val="4f81bd" w:themeColor="accent1"/>
      <w:sz w:val="18"/>
      <w:szCs w:val="18"/>
    </w:rPr>
  </w:style>
  <w:style w:type="character" w:styleId="722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23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24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25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basedOn w:val="718"/>
    <w:uiPriority w:val="10"/>
    <w:qFormat/>
    <w:rPr>
      <w:sz w:val="48"/>
      <w:szCs w:val="48"/>
    </w:rPr>
  </w:style>
  <w:style w:type="character" w:styleId="732" w:customStyle="1">
    <w:name w:val="Subtitle Char"/>
    <w:basedOn w:val="718"/>
    <w:uiPriority w:val="11"/>
    <w:qFormat/>
    <w:rPr>
      <w:sz w:val="24"/>
      <w:szCs w:val="24"/>
    </w:rPr>
  </w:style>
  <w:style w:type="character" w:styleId="733" w:customStyle="1">
    <w:name w:val="Quote Char"/>
    <w:uiPriority w:val="29"/>
    <w:qFormat/>
    <w:rPr>
      <w:i/>
    </w:rPr>
  </w:style>
  <w:style w:type="character" w:styleId="734" w:customStyle="1">
    <w:name w:val="Intense Quote Char"/>
    <w:uiPriority w:val="30"/>
    <w:qFormat/>
    <w:rPr>
      <w:i/>
    </w:rPr>
  </w:style>
  <w:style w:type="character" w:styleId="735" w:customStyle="1">
    <w:name w:val="Заголовок 1 Знак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10"/>
    <w:uiPriority w:val="9"/>
    <w:qFormat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link w:val="7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Заголовок Знак"/>
    <w:link w:val="768"/>
    <w:uiPriority w:val="10"/>
    <w:qFormat/>
    <w:rPr>
      <w:sz w:val="48"/>
      <w:szCs w:val="48"/>
    </w:rPr>
  </w:style>
  <w:style w:type="character" w:styleId="745" w:customStyle="1">
    <w:name w:val="Подзаголовок Знак"/>
    <w:link w:val="775"/>
    <w:uiPriority w:val="11"/>
    <w:qFormat/>
    <w:rPr>
      <w:sz w:val="24"/>
      <w:szCs w:val="24"/>
    </w:rPr>
  </w:style>
  <w:style w:type="character" w:styleId="746" w:customStyle="1">
    <w:name w:val="Цитата 2 Знак"/>
    <w:link w:val="776"/>
    <w:uiPriority w:val="29"/>
    <w:qFormat/>
    <w:rPr>
      <w:i/>
    </w:rPr>
  </w:style>
  <w:style w:type="character" w:styleId="747" w:customStyle="1">
    <w:name w:val="Выделенная цитата Знак"/>
    <w:link w:val="777"/>
    <w:uiPriority w:val="30"/>
    <w:qFormat/>
    <w:rPr>
      <w:i/>
    </w:rPr>
  </w:style>
  <w:style w:type="character" w:styleId="748" w:customStyle="1">
    <w:name w:val="Header Char"/>
    <w:uiPriority w:val="99"/>
    <w:qFormat/>
  </w:style>
  <w:style w:type="character" w:styleId="749" w:customStyle="1">
    <w:name w:val="Footer Char"/>
    <w:uiPriority w:val="99"/>
    <w:qFormat/>
  </w:style>
  <w:style w:type="character" w:styleId="750" w:customStyle="1">
    <w:name w:val="Название объекта Знак"/>
    <w:link w:val="771"/>
    <w:uiPriority w:val="99"/>
    <w:qFormat/>
  </w:style>
  <w:style w:type="character" w:styleId="751">
    <w:name w:val="Hyperlink"/>
    <w:uiPriority w:val="99"/>
    <w:unhideWhenUsed/>
    <w:rPr>
      <w:color w:val="0000ff"/>
      <w:u w:val="single"/>
    </w:rPr>
  </w:style>
  <w:style w:type="character" w:styleId="752" w:customStyle="1">
    <w:name w:val="Footnote Text Char"/>
    <w:uiPriority w:val="99"/>
    <w:qFormat/>
    <w:rPr>
      <w:sz w:val="18"/>
    </w:rPr>
  </w:style>
  <w:style w:type="character" w:styleId="753" w:customStyle="1">
    <w:name w:val="Символ сноски"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Endnote Text Char"/>
    <w:uiPriority w:val="99"/>
    <w:qFormat/>
    <w:rPr>
      <w:sz w:val="20"/>
    </w:rPr>
  </w:style>
  <w:style w:type="character" w:styleId="756" w:customStyle="1">
    <w:name w:val="Символ концевой сноски"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8"/>
    <w:qFormat/>
  </w:style>
  <w:style w:type="character" w:styleId="759" w:customStyle="1">
    <w:name w:val="Текст выноски Знак"/>
    <w:link w:val="795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79"/>
    <w:uiPriority w:val="99"/>
    <w:qFormat/>
  </w:style>
  <w:style w:type="character" w:styleId="761">
    <w:name w:val="FollowedHyperlink"/>
    <w:uiPriority w:val="99"/>
    <w:unhideWhenUsed/>
    <w:rPr>
      <w:color w:val="800080"/>
      <w:u w:val="single"/>
    </w:rPr>
  </w:style>
  <w:style w:type="character" w:styleId="762" w:customStyle="1">
    <w:name w:val="Основной текст Знак"/>
    <w:link w:val="769"/>
    <w:qFormat/>
    <w:rPr>
      <w:rFonts w:ascii="Courier New" w:hAnsi="Courier New"/>
      <w:sz w:val="26"/>
    </w:rPr>
  </w:style>
  <w:style w:type="character" w:styleId="763" w:customStyle="1">
    <w:name w:val="Нижний колонтитул Знак"/>
    <w:link w:val="780"/>
    <w:uiPriority w:val="99"/>
    <w:qFormat/>
  </w:style>
  <w:style w:type="character" w:styleId="764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765" w:customStyle="1">
    <w:name w:val="Стандартный HTML Знак"/>
    <w:link w:val="865"/>
    <w:qFormat/>
    <w:rPr>
      <w:rFonts w:ascii="Courier New" w:hAnsi="Courier New" w:cs="Courier New"/>
    </w:rPr>
  </w:style>
  <w:style w:type="character" w:styleId="766" w:customStyle="1">
    <w:name w:val="Текст концевой сноски Знак"/>
    <w:basedOn w:val="718"/>
    <w:link w:val="782"/>
    <w:qFormat/>
  </w:style>
  <w:style w:type="character" w:styleId="767" w:customStyle="1">
    <w:name w:val="Текст сноски Знак"/>
    <w:basedOn w:val="718"/>
    <w:link w:val="781"/>
    <w:qFormat/>
  </w:style>
  <w:style w:type="paragraph" w:styleId="768">
    <w:name w:val="Title"/>
    <w:basedOn w:val="708"/>
    <w:next w:val="769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9">
    <w:name w:val="Body Text"/>
    <w:basedOn w:val="708"/>
    <w:link w:val="762"/>
    <w:pPr>
      <w:ind w:right="3117"/>
    </w:pPr>
    <w:rPr>
      <w:rFonts w:ascii="Courier New" w:hAnsi="Courier New"/>
      <w:sz w:val="26"/>
    </w:rPr>
  </w:style>
  <w:style w:type="paragraph" w:styleId="770">
    <w:name w:val="List"/>
    <w:basedOn w:val="769"/>
  </w:style>
  <w:style w:type="paragraph" w:styleId="771">
    <w:name w:val="Caption"/>
    <w:basedOn w:val="708"/>
    <w:next w:val="708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72">
    <w:name w:val="index heading"/>
    <w:basedOn w:val="768"/>
  </w:style>
  <w:style w:type="paragraph" w:styleId="773">
    <w:name w:val="List Paragraph"/>
    <w:basedOn w:val="70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7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75">
    <w:name w:val="Subtitle"/>
    <w:basedOn w:val="708"/>
    <w:next w:val="708"/>
    <w:link w:val="745"/>
    <w:uiPriority w:val="11"/>
    <w:qFormat/>
    <w:pPr>
      <w:spacing w:before="200" w:after="200"/>
    </w:pPr>
    <w:rPr>
      <w:sz w:val="24"/>
      <w:szCs w:val="24"/>
    </w:rPr>
  </w:style>
  <w:style w:type="paragraph" w:styleId="776">
    <w:name w:val="Quote"/>
    <w:basedOn w:val="708"/>
    <w:next w:val="708"/>
    <w:link w:val="746"/>
    <w:uiPriority w:val="29"/>
    <w:qFormat/>
    <w:pPr>
      <w:ind w:left="720" w:right="720"/>
    </w:pPr>
    <w:rPr>
      <w:i/>
    </w:rPr>
  </w:style>
  <w:style w:type="paragraph" w:styleId="777">
    <w:name w:val="Intense Quote"/>
    <w:basedOn w:val="708"/>
    <w:next w:val="708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8" w:customStyle="1">
    <w:name w:val="Колонтитул"/>
    <w:basedOn w:val="708"/>
    <w:qFormat/>
  </w:style>
  <w:style w:type="paragraph" w:styleId="779">
    <w:name w:val="Header"/>
    <w:basedOn w:val="708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80">
    <w:name w:val="Footer"/>
    <w:basedOn w:val="708"/>
    <w:link w:val="763"/>
    <w:uiPriority w:val="99"/>
    <w:pPr>
      <w:tabs>
        <w:tab w:val="center" w:pos="4153" w:leader="none"/>
        <w:tab w:val="right" w:pos="8306" w:leader="none"/>
      </w:tabs>
    </w:pPr>
  </w:style>
  <w:style w:type="paragraph" w:styleId="781">
    <w:name w:val="footnote text"/>
    <w:basedOn w:val="708"/>
    <w:link w:val="767"/>
  </w:style>
  <w:style w:type="paragraph" w:styleId="782">
    <w:name w:val="endnote text"/>
    <w:basedOn w:val="708"/>
    <w:link w:val="766"/>
  </w:style>
  <w:style w:type="paragraph" w:styleId="783">
    <w:name w:val="toc 1"/>
    <w:basedOn w:val="708"/>
    <w:next w:val="708"/>
    <w:uiPriority w:val="39"/>
    <w:unhideWhenUsed/>
    <w:pPr>
      <w:spacing w:after="57"/>
    </w:pPr>
  </w:style>
  <w:style w:type="paragraph" w:styleId="784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785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786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787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788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789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790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791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792">
    <w:name w:val="TOC Heading"/>
    <w:uiPriority w:val="39"/>
    <w:unhideWhenUsed/>
    <w:qFormat/>
  </w:style>
  <w:style w:type="paragraph" w:styleId="793">
    <w:name w:val="table of figures"/>
    <w:basedOn w:val="708"/>
    <w:next w:val="708"/>
    <w:uiPriority w:val="99"/>
    <w:unhideWhenUsed/>
  </w:style>
  <w:style w:type="paragraph" w:styleId="794">
    <w:name w:val="Body Text Indent"/>
    <w:basedOn w:val="708"/>
    <w:pPr>
      <w:ind w:right="-1"/>
      <w:jc w:val="both"/>
    </w:pPr>
    <w:rPr>
      <w:sz w:val="26"/>
    </w:rPr>
  </w:style>
  <w:style w:type="paragraph" w:styleId="795">
    <w:name w:val="Balloon Text"/>
    <w:basedOn w:val="708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6" w:customStyle="1">
    <w:name w:val="xl65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6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67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9" w:customStyle="1">
    <w:name w:val="xl6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00" w:customStyle="1">
    <w:name w:val="xl69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0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02" w:customStyle="1">
    <w:name w:val="xl71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2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3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4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5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xl77"/>
    <w:basedOn w:val="708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9" w:customStyle="1">
    <w:name w:val="xl78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10" w:customStyle="1">
    <w:name w:val="xl79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1" w:customStyle="1">
    <w:name w:val="Форма"/>
    <w:qFormat/>
    <w:rPr>
      <w:sz w:val="28"/>
      <w:szCs w:val="28"/>
      <w:lang w:eastAsia="ru-RU"/>
    </w:rPr>
  </w:style>
  <w:style w:type="paragraph" w:styleId="812" w:customStyle="1">
    <w:name w:val="ConsPlusNormal"/>
    <w:qFormat/>
    <w:rPr>
      <w:sz w:val="28"/>
      <w:szCs w:val="28"/>
      <w:lang w:eastAsia="ru-RU"/>
    </w:rPr>
  </w:style>
  <w:style w:type="paragraph" w:styleId="813" w:customStyle="1">
    <w:name w:val="font5"/>
    <w:basedOn w:val="708"/>
    <w:qFormat/>
    <w:pPr>
      <w:spacing w:beforeAutospacing="1" w:afterAutospacing="1"/>
    </w:pPr>
    <w:rPr>
      <w:color w:val="000000"/>
      <w:sz w:val="28"/>
      <w:szCs w:val="28"/>
    </w:rPr>
  </w:style>
  <w:style w:type="paragraph" w:styleId="814" w:customStyle="1">
    <w:name w:val="xl8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5" w:customStyle="1">
    <w:name w:val="xl81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6" w:customStyle="1">
    <w:name w:val="xl82"/>
    <w:basedOn w:val="708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7" w:customStyle="1">
    <w:name w:val="xl8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8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0" w:customStyle="1">
    <w:name w:val="xl8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8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2" w:customStyle="1">
    <w:name w:val="xl88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3" w:customStyle="1">
    <w:name w:val="xl89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0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7" w:customStyle="1">
    <w:name w:val="xl9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4"/>
    <w:basedOn w:val="708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9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9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2" w:customStyle="1">
    <w:name w:val="xl98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3" w:customStyle="1">
    <w:name w:val="xl99"/>
    <w:basedOn w:val="708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4" w:customStyle="1">
    <w:name w:val="xl10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0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08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09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1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1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2"/>
    <w:basedOn w:val="708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7" w:customStyle="1">
    <w:name w:val="xl11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4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5"/>
    <w:basedOn w:val="708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50" w:customStyle="1">
    <w:name w:val="xl116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17"/>
    <w:basedOn w:val="708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11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xl119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2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1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6" w:customStyle="1">
    <w:name w:val="xl122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xl12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8" w:customStyle="1">
    <w:name w:val="xl12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9" w:customStyle="1">
    <w:name w:val="xl12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0" w:customStyle="1">
    <w:name w:val="font6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61" w:customStyle="1">
    <w:name w:val="font7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62" w:customStyle="1">
    <w:name w:val="font8"/>
    <w:basedOn w:val="708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3" w:customStyle="1">
    <w:name w:val="ConsPlusTitle"/>
    <w:qFormat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864" w:customStyle="1">
    <w:name w:val="ConsPlusNonformat"/>
    <w:uiPriority w:val="99"/>
    <w:qFormat/>
    <w:pPr>
      <w:widowControl w:val="off"/>
    </w:pPr>
    <w:rPr>
      <w:rFonts w:ascii="Courier New" w:hAnsi="Courier New" w:cs="Courier New"/>
      <w:lang w:eastAsia="ru-RU"/>
    </w:rPr>
  </w:style>
  <w:style w:type="paragraph" w:styleId="865">
    <w:name w:val="HTML Preformatted"/>
    <w:basedOn w:val="708"/>
    <w:link w:val="765"/>
    <w:qFormat/>
    <w:rPr>
      <w:rFonts w:ascii="Courier New" w:hAnsi="Courier New" w:cs="Courier New"/>
    </w:rPr>
  </w:style>
  <w:style w:type="paragraph" w:styleId="866" w:customStyle="1">
    <w:name w:val="Содержимое врезки"/>
    <w:basedOn w:val="708"/>
    <w:qFormat/>
  </w:style>
  <w:style w:type="numbering" w:styleId="867" w:customStyle="1">
    <w:name w:val="Нет списка1"/>
    <w:uiPriority w:val="99"/>
    <w:semiHidden/>
    <w:unhideWhenUsed/>
    <w:qFormat/>
  </w:style>
  <w:style w:type="numbering" w:styleId="868" w:customStyle="1">
    <w:name w:val="Нет списка11"/>
    <w:uiPriority w:val="99"/>
    <w:semiHidden/>
    <w:unhideWhenUsed/>
    <w:qFormat/>
  </w:style>
  <w:style w:type="numbering" w:styleId="869" w:customStyle="1">
    <w:name w:val="Нет списка111"/>
    <w:uiPriority w:val="99"/>
    <w:semiHidden/>
    <w:unhideWhenUsed/>
    <w:qFormat/>
  </w:style>
  <w:style w:type="numbering" w:styleId="870" w:customStyle="1">
    <w:name w:val="Нет списка2"/>
    <w:uiPriority w:val="99"/>
    <w:semiHidden/>
    <w:unhideWhenUsed/>
    <w:qFormat/>
  </w:style>
  <w:style w:type="numbering" w:styleId="871" w:customStyle="1">
    <w:name w:val="Нет списка3"/>
    <w:uiPriority w:val="99"/>
    <w:semiHidden/>
    <w:unhideWhenUsed/>
    <w:qFormat/>
  </w:style>
  <w:style w:type="numbering" w:styleId="872" w:customStyle="1">
    <w:name w:val="Нет списка4"/>
    <w:uiPriority w:val="99"/>
    <w:semiHidden/>
    <w:unhideWhenUsed/>
    <w:qFormat/>
  </w:style>
  <w:style w:type="table" w:styleId="873">
    <w:name w:val="Table Grid"/>
    <w:basedOn w:val="719"/>
    <w:uiPriority w:val="59"/>
    <w:rPr>
      <w:sz w:val="22"/>
      <w:szCs w:val="22"/>
      <w:lang w:eastAsia="en-US"/>
    </w:rPr>
    <w:tblPr/>
  </w:style>
  <w:style w:type="table" w:styleId="874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6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8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9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0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903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904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905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906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08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15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6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7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8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9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20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1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2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7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938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939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940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941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942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94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8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65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6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67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68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69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70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71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9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980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981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982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983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984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985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86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987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988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989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990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991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992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93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4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95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96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97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98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table" w:styleId="999" w:customStyle="1">
    <w:name w:val="Сетка таблицы1"/>
    <w:basedOn w:val="719"/>
    <w:uiPriority w:val="39"/>
    <w:rPr>
      <w:sz w:val="22"/>
      <w:szCs w:val="22"/>
      <w:lang w:eastAsia="en-US"/>
    </w:rPr>
    <w:tblPr/>
  </w:style>
  <w:style w:type="paragraph" w:styleId="1000">
    <w:name w:val="Normal (Web)"/>
    <w:basedOn w:val="708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6A42-2424-4AB0-A0A4-F6FA096E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14</cp:revision>
  <dcterms:created xsi:type="dcterms:W3CDTF">2026-05-29T06:34:00Z</dcterms:created>
  <dcterms:modified xsi:type="dcterms:W3CDTF">2026-07-29T05:49:13Z</dcterms:modified>
  <cp:version>1048576</cp:version>
</cp:coreProperties>
</file>