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 </w: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0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0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457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457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31.07.2026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31.07.2026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pStyle w:val="908"/>
        <w:spacing w:line="240" w:lineRule="exact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08"/>
        <w:spacing w:line="240" w:lineRule="exact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08"/>
        <w:jc w:val="center"/>
        <w:spacing w:line="240" w:lineRule="exact"/>
        <w:rPr>
          <w:b/>
          <w:bCs/>
        </w:rPr>
      </w:pPr>
      <w:r>
        <w:rPr>
          <w:b/>
        </w:rPr>
        <w:t xml:space="preserve">Об </w:t>
      </w:r>
      <w:r>
        <w:rPr>
          <w:b/>
        </w:rPr>
        <w:t xml:space="preserve">утверждении Порядка </w:t>
      </w:r>
      <w:r>
        <w:rPr>
          <w:b/>
        </w:rPr>
        <w:t xml:space="preserve">предоставления дополнительной меры </w:t>
      </w:r>
      <w:r>
        <w:rPr>
          <w:b/>
        </w:rPr>
        <w:t xml:space="preserve">социальной поддержки на </w:t>
      </w:r>
      <w:r>
        <w:rPr>
          <w:b/>
        </w:rPr>
        <w:t xml:space="preserve">внесение </w:t>
      </w:r>
      <w:r>
        <w:rPr>
          <w:b/>
        </w:rPr>
        <w:t xml:space="preserve">платы за пользование </w:t>
      </w:r>
      <w:r>
        <w:rPr>
          <w:b/>
        </w:rPr>
        <w:t xml:space="preserve">жилым помещением </w:t>
        <w:br/>
        <w:t xml:space="preserve">(плата за наем) </w:t>
      </w:r>
      <w:r>
        <w:rPr>
          <w:b/>
        </w:rPr>
        <w:t xml:space="preserve">муниципального жилищного фонда города Перми</w:t>
      </w:r>
      <w:r>
        <w:rPr>
          <w:b/>
        </w:rPr>
        <w:t xml:space="preserve"> </w:t>
        <w:br/>
      </w:r>
      <w:r>
        <w:rPr>
          <w:b/>
          <w:bCs/>
          <w:highlight w:val="none"/>
        </w:rPr>
        <w:t xml:space="preserve">для отдельных категорий </w:t>
      </w:r>
      <w:r>
        <w:rPr>
          <w:b/>
          <w:bCs/>
          <w:highlight w:val="none"/>
        </w:rPr>
        <w:t xml:space="preserve">граждан, являющихся нанимателями </w:t>
      </w:r>
      <w:r>
        <w:rPr>
          <w:b/>
          <w:bCs/>
          <w:highlight w:val="none"/>
        </w:rPr>
        <w:t xml:space="preserve">жилых </w:t>
        <w:br/>
        <w:t xml:space="preserve">помещений по договорам </w:t>
      </w:r>
      <w:r>
        <w:rPr>
          <w:b/>
          <w:bCs/>
          <w:highlight w:val="none"/>
        </w:rPr>
        <w:t xml:space="preserve">с</w:t>
      </w:r>
      <w:r>
        <w:rPr>
          <w:b/>
          <w:bCs/>
          <w:highlight w:val="none"/>
        </w:rPr>
        <w:t xml:space="preserve">оциального найма или договорам найма </w:t>
      </w:r>
      <w:r>
        <w:rPr>
          <w:b/>
          <w:bCs/>
          <w:highlight w:val="none"/>
        </w:rPr>
        <w:t xml:space="preserve">жилых помещений муниципального </w:t>
      </w:r>
      <w:r>
        <w:rPr>
          <w:b/>
          <w:bCs/>
          <w:highlight w:val="none"/>
        </w:rPr>
        <w:t xml:space="preserve">жилищного фонда города Перми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</w:rPr>
        <w:t xml:space="preserve">В соответствии с Ф</w:t>
      </w:r>
      <w:r>
        <w:rPr>
          <w:sz w:val="28"/>
          <w:szCs w:val="28"/>
        </w:rPr>
        <w:t xml:space="preserve">едеральным законом от 20 марта 2025 г. № 33-ФЗ «Об общих принципах организации местного самоуправления в единой системе публичной власти», Уставом города Перми</w:t>
      </w:r>
      <w:r>
        <w:rPr>
          <w:sz w:val="28"/>
          <w:szCs w:val="28"/>
        </w:rPr>
        <w:t xml:space="preserve">, решением Пермской городской Думы </w:t>
        <w:br/>
        <w:t xml:space="preserve">от 28 апреля 20</w:t>
      </w:r>
      <w:r>
        <w:rPr>
          <w:sz w:val="28"/>
          <w:szCs w:val="28"/>
          <w:highlight w:val="white"/>
        </w:rPr>
        <w:t xml:space="preserve">26 г. </w:t>
      </w:r>
      <w:r>
        <w:rPr>
          <w:sz w:val="28"/>
          <w:szCs w:val="28"/>
          <w:highlight w:val="white"/>
        </w:rPr>
        <w:t xml:space="preserve">№ 69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Об установлении дополнительной меры социальной поддержки отдельным категориям граждан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0"/>
        <w:jc w:val="both"/>
        <w:rPr>
          <w:sz w:val="28"/>
          <w:szCs w:val="28"/>
          <w:highlight w:val="white"/>
          <w14:ligatures w14:val="non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sz w:val="28"/>
          <w:szCs w:val="28"/>
          <w:highlight w:val="white"/>
          <w14:ligatures w14:val="none"/>
        </w:rPr>
      </w:r>
      <w:r>
        <w:rPr>
          <w:sz w:val="28"/>
          <w:szCs w:val="28"/>
          <w:highlight w:val="white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1</w:t>
      </w:r>
      <w:r>
        <w:rPr>
          <w:sz w:val="28"/>
          <w:szCs w:val="28"/>
          <w:highlight w:val="white"/>
        </w:rPr>
        <w:t xml:space="preserve">. Утвердить прилагаемый Порядок </w:t>
      </w:r>
      <w:r>
        <w:rPr>
          <w:sz w:val="28"/>
          <w:szCs w:val="28"/>
          <w:highlight w:val="white"/>
        </w:rPr>
        <w:t xml:space="preserve">предоставления </w:t>
      </w:r>
      <w:r>
        <w:rPr>
          <w:sz w:val="28"/>
          <w:szCs w:val="28"/>
          <w:highlight w:val="white"/>
        </w:rPr>
        <w:t xml:space="preserve">дополнительной меры </w:t>
      </w:r>
      <w:r>
        <w:rPr>
          <w:sz w:val="28"/>
          <w:szCs w:val="28"/>
          <w:highlight w:val="white"/>
        </w:rPr>
        <w:t xml:space="preserve">социальной поддержки на внесение </w:t>
      </w:r>
      <w:r>
        <w:rPr>
          <w:sz w:val="28"/>
          <w:szCs w:val="28"/>
          <w:highlight w:val="white"/>
        </w:rPr>
        <w:t xml:space="preserve">платы за пользование </w:t>
      </w:r>
      <w:r>
        <w:rPr>
          <w:sz w:val="28"/>
          <w:szCs w:val="28"/>
          <w:highlight w:val="white"/>
        </w:rPr>
        <w:t xml:space="preserve">жилым помещением (плата за наем) </w:t>
      </w:r>
      <w:r>
        <w:rPr>
          <w:sz w:val="28"/>
          <w:szCs w:val="28"/>
          <w:highlight w:val="white"/>
        </w:rPr>
        <w:t xml:space="preserve">муниципального жилищного фонда города Перми для отдельных категорий </w:t>
      </w:r>
      <w:r>
        <w:rPr>
          <w:sz w:val="28"/>
          <w:szCs w:val="28"/>
          <w:highlight w:val="white"/>
        </w:rPr>
        <w:t xml:space="preserve">граждан, являющихся нанимателями </w:t>
      </w:r>
      <w:r>
        <w:rPr>
          <w:sz w:val="28"/>
          <w:szCs w:val="28"/>
          <w:highlight w:val="white"/>
        </w:rPr>
        <w:t xml:space="preserve">жилых помещений по договорам </w:t>
      </w:r>
      <w:r>
        <w:rPr>
          <w:sz w:val="28"/>
          <w:szCs w:val="28"/>
          <w:highlight w:val="white"/>
        </w:rPr>
        <w:t xml:space="preserve">социального найма или договорам найма </w:t>
      </w:r>
      <w:r>
        <w:rPr>
          <w:sz w:val="28"/>
          <w:szCs w:val="28"/>
          <w:highlight w:val="white"/>
        </w:rPr>
        <w:t xml:space="preserve">жилых помещений муниципального </w:t>
      </w:r>
      <w:r>
        <w:rPr>
          <w:sz w:val="28"/>
          <w:szCs w:val="28"/>
          <w:highlight w:val="white"/>
        </w:rPr>
        <w:t xml:space="preserve">жилищного фонда города Перми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  <w:t xml:space="preserve">2. </w:t>
      </w:r>
      <w:r>
        <w:rPr>
          <w:sz w:val="28"/>
          <w:szCs w:val="28"/>
          <w:highlight w:val="white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</w:r>
      <w:r>
        <w:rPr>
          <w:sz w:val="28"/>
          <w:szCs w:val="28"/>
          <w:highlight w:val="white"/>
        </w:rPr>
        <w:t xml:space="preserve">и действует до истечения срока действия решения Пермской городской Думы от</w:t>
      </w:r>
      <w:r>
        <w:rPr>
          <w:sz w:val="28"/>
          <w:szCs w:val="28"/>
          <w:highlight w:val="white"/>
        </w:rPr>
        <w:t xml:space="preserve"> 28 апреля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№ 69</w:t>
      </w:r>
      <w:r>
        <w:rPr>
          <w:sz w:val="28"/>
          <w:szCs w:val="28"/>
          <w:highlight w:val="white"/>
        </w:rPr>
        <w:t xml:space="preserve"> «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</w:rPr>
        <w:t xml:space="preserve">б установлении дополнительной меры социальной поддержки отдельным категориям граждан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rPr>
          <w:color w:val="auto"/>
          <w:sz w:val="28"/>
          <w:szCs w:val="28"/>
          <w14:ligatures w14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</w:t>
      </w:r>
      <w:r>
        <w:rPr>
          <w:sz w:val="28"/>
          <w:szCs w:val="28"/>
          <w:u w:val="none"/>
        </w:rPr>
        <w:t xml:space="preserve"> </w:t>
      </w:r>
      <w:hyperlink r:id="rId12" w:tooltip="http://www.gorodperm.ru" w:history="1">
        <w:r>
          <w:rPr>
            <w:rStyle w:val="891"/>
            <w:color w:val="auto"/>
            <w:sz w:val="28"/>
            <w:szCs w:val="28"/>
            <w:u w:val="none"/>
          </w:rPr>
          <w:t xml:space="preserve">www.gorodperm.ru</w:t>
        </w:r>
      </w:hyperlink>
      <w:r>
        <w:rPr>
          <w:color w:val="auto"/>
          <w:sz w:val="28"/>
          <w:szCs w:val="28"/>
        </w:rPr>
        <w:t xml:space="preserve">».</w:t>
      </w:r>
      <w:r>
        <w:rPr>
          <w:color w:val="auto"/>
          <w:sz w:val="28"/>
          <w:szCs w:val="28"/>
          <w14:ligatures w14:val="none"/>
        </w:rPr>
      </w:r>
      <w:r>
        <w:rPr>
          <w:color w:val="auto"/>
          <w:sz w:val="28"/>
          <w:szCs w:val="28"/>
          <w14:ligatures w14:val="none"/>
        </w:rPr>
      </w:r>
    </w:p>
    <w:p>
      <w:pPr>
        <w:ind w:left="0" w:right="0"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  <w:br/>
        <w:t xml:space="preserve">на заместителя главы администрации города Перми Балахнина А.А.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spacing w:line="238" w:lineRule="exact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spacing w:line="238" w:lineRule="exact"/>
        <w:rPr>
          <w:sz w:val="28"/>
          <w:szCs w:val="28"/>
          <w14:ligatures w14:val="none"/>
        </w:rPr>
      </w:pP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both"/>
        <w:spacing w:line="238" w:lineRule="exact"/>
        <w:rPr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left"/>
        <w:rPr>
          <w:sz w:val="28"/>
          <w:szCs w:val="28"/>
          <w14:ligatures w14:val="none"/>
        </w:rPr>
        <w:sectPr>
          <w:headerReference w:type="default" r:id="rId8"/>
          <w:headerReference w:type="even" r:id="rId9"/>
          <w:footerReference w:type="default" r:id="rId10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  <w:t xml:space="preserve">Глава города Перми</w:t>
        <w:tab/>
        <w:tab/>
        <w:tab/>
        <w:tab/>
        <w:tab/>
        <w:tab/>
        <w:tab/>
        <w:tab/>
        <w:t xml:space="preserve">       Э.О. Соснин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5669"/>
        <w:jc w:val="left"/>
        <w:spacing w:line="238" w:lineRule="exact"/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/>
    </w:p>
    <w:p>
      <w:pPr>
        <w:ind w:left="0" w:right="0" w:firstLine="5669"/>
        <w:jc w:val="left"/>
        <w:spacing w:line="238" w:lineRule="exact"/>
      </w:pPr>
      <w:r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</w:r>
      <w:r/>
    </w:p>
    <w:p>
      <w:pPr>
        <w:ind w:left="0" w:right="0" w:firstLine="5669"/>
        <w:jc w:val="left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669"/>
        <w:jc w:val="left"/>
        <w:spacing w:line="238" w:lineRule="exact"/>
      </w:pPr>
      <w:r>
        <w:rPr>
          <w:sz w:val="28"/>
          <w:szCs w:val="28"/>
          <w:highlight w:val="none"/>
        </w:rPr>
        <w:t xml:space="preserve">от</w:t>
      </w:r>
      <w:r>
        <w:rPr>
          <w:sz w:val="28"/>
          <w:szCs w:val="28"/>
          <w:highlight w:val="none"/>
        </w:rPr>
        <w:t xml:space="preserve"> 31.07.2026 № 457</w:t>
      </w:r>
      <w:r/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rPr>
          <w:b/>
          <w:bCs/>
        </w:rPr>
      </w:pPr>
      <w:r>
        <w:rPr>
          <w:b/>
          <w:bCs/>
          <w:sz w:val="28"/>
          <w:szCs w:val="28"/>
        </w:rPr>
        <w:t xml:space="preserve">ПОРЯДОК</w:t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  <w:t xml:space="preserve">п</w:t>
      </w:r>
      <w:r>
        <w:rPr>
          <w:b/>
          <w:bCs/>
          <w:sz w:val="28"/>
          <w:szCs w:val="28"/>
          <w:highlight w:val="none"/>
        </w:rPr>
        <w:t xml:space="preserve">р</w:t>
      </w:r>
      <w:r>
        <w:rPr>
          <w:b/>
          <w:bCs/>
          <w:sz w:val="28"/>
          <w:szCs w:val="28"/>
          <w:highlight w:val="none"/>
        </w:rPr>
        <w:t xml:space="preserve">едоставления дополнительной меры социальной поддержки на внесение платы за пользование жилым помещением (плата за наем) муниципального жилищного фонда города Перми для отдельных категорий граждан, </w:t>
        <w:br/>
        <w:t xml:space="preserve">являющихся нанимателями жилых помещений по договорам социа</w:t>
      </w:r>
      <w:r>
        <w:rPr>
          <w:b/>
          <w:bCs/>
          <w:sz w:val="28"/>
          <w:szCs w:val="28"/>
          <w:highlight w:val="none"/>
        </w:rPr>
        <w:t xml:space="preserve">льного найма или договорам найма жилых помещений муниципального жилищного фонда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I. Общие положения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.1. Настоящий Порядок </w:t>
      </w:r>
      <w:r>
        <w:rPr>
          <w:sz w:val="28"/>
          <w:szCs w:val="28"/>
          <w:highlight w:val="white"/>
        </w:rPr>
        <w:t xml:space="preserve">предоставления </w:t>
      </w:r>
      <w:r>
        <w:rPr>
          <w:sz w:val="28"/>
          <w:szCs w:val="28"/>
          <w:highlight w:val="white"/>
        </w:rPr>
        <w:t xml:space="preserve">дополнительной меры </w:t>
      </w:r>
      <w:r>
        <w:rPr>
          <w:sz w:val="28"/>
          <w:szCs w:val="28"/>
          <w:highlight w:val="white"/>
        </w:rPr>
        <w:t xml:space="preserve">социальной поддержки на внесение </w:t>
      </w:r>
      <w:r>
        <w:rPr>
          <w:sz w:val="28"/>
          <w:szCs w:val="28"/>
          <w:highlight w:val="white"/>
        </w:rPr>
        <w:t xml:space="preserve">платы за пользование </w:t>
      </w:r>
      <w:r>
        <w:rPr>
          <w:sz w:val="28"/>
          <w:szCs w:val="28"/>
          <w:highlight w:val="white"/>
        </w:rPr>
        <w:t xml:space="preserve">жилым помещением (плата за наем) </w:t>
      </w:r>
      <w:r>
        <w:rPr>
          <w:sz w:val="28"/>
          <w:szCs w:val="28"/>
          <w:highlight w:val="white"/>
        </w:rPr>
        <w:t xml:space="preserve">муниципального жилищного фонда города Перми для отдельных категорий </w:t>
      </w:r>
      <w:r>
        <w:rPr>
          <w:sz w:val="28"/>
          <w:szCs w:val="28"/>
          <w:highlight w:val="white"/>
        </w:rPr>
        <w:t xml:space="preserve">граждан, являющихся нанимателями </w:t>
      </w:r>
      <w:r>
        <w:rPr>
          <w:sz w:val="28"/>
          <w:szCs w:val="28"/>
          <w:highlight w:val="white"/>
        </w:rPr>
        <w:t xml:space="preserve">жилых помещений по договорам </w:t>
      </w:r>
      <w:r>
        <w:rPr>
          <w:sz w:val="28"/>
          <w:szCs w:val="28"/>
          <w:highlight w:val="white"/>
        </w:rPr>
        <w:t xml:space="preserve">социального найма или договорам найма </w:t>
      </w:r>
      <w:r>
        <w:rPr>
          <w:sz w:val="28"/>
          <w:szCs w:val="28"/>
          <w:highlight w:val="white"/>
        </w:rPr>
        <w:t xml:space="preserve">жилых помещений муниципального </w:t>
      </w:r>
      <w:r>
        <w:rPr>
          <w:sz w:val="28"/>
          <w:szCs w:val="28"/>
          <w:highlight w:val="white"/>
        </w:rPr>
        <w:t xml:space="preserve">жилищного фонда города Перми</w:t>
      </w:r>
      <w:r>
        <w:rPr>
          <w:sz w:val="28"/>
          <w:szCs w:val="28"/>
        </w:rPr>
        <w:t xml:space="preserve"> (далее – Порядок, дополнительная мера социальной поддержки), разработан в соответствии с Ф</w:t>
      </w:r>
      <w:r>
        <w:rPr>
          <w:sz w:val="28"/>
          <w:szCs w:val="28"/>
        </w:rPr>
        <w:t xml:space="preserve">едеральным законом от 20 марта 2025 г. № 33-ФЗ </w:t>
        <w:br/>
        <w:t xml:space="preserve">«Об общих принципах организации местного самоуправления в единой системе публичной власти», Уставом города Перми, решением Пермской городской Думы от 28 апреля 2026 г. </w:t>
      </w:r>
      <w:r>
        <w:rPr>
          <w:sz w:val="28"/>
          <w:szCs w:val="28"/>
          <w:highlight w:val="white"/>
        </w:rPr>
        <w:t xml:space="preserve">№ 69</w:t>
      </w:r>
      <w:r>
        <w:rPr>
          <w:sz w:val="28"/>
          <w:szCs w:val="28"/>
          <w:highlight w:val="white"/>
        </w:rPr>
        <w:t xml:space="preserve"> «О</w:t>
      </w:r>
      <w:r>
        <w:rPr>
          <w:sz w:val="28"/>
          <w:szCs w:val="28"/>
        </w:rPr>
        <w:t xml:space="preserve">б установлении дополнительной меры социальной </w:t>
      </w:r>
      <w:r>
        <w:rPr>
          <w:sz w:val="28"/>
          <w:szCs w:val="28"/>
        </w:rPr>
        <w:t xml:space="preserve">поддержки отдельным категориям граждан» и регламентирует процедуру предоставления дополнительной меры социальной поддержки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highlight w:val="none"/>
        </w:rPr>
        <w:t xml:space="preserve">Дополнительная мера социальной поддержки предоставляется следующим отдельным категориям граждан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white"/>
        </w:rPr>
        <w:t xml:space="preserve">являющимся нанимателями жилых помещений по договорам социального найма или договорам найма жилых помещений муниципального жилищного фонда города Перми</w:t>
      </w:r>
      <w:r>
        <w:rPr>
          <w:sz w:val="28"/>
          <w:szCs w:val="28"/>
          <w:highlight w:val="white"/>
        </w:rPr>
        <w:t xml:space="preserve">: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ризванным</w:t>
      </w:r>
      <w:r>
        <w:rPr>
          <w:sz w:val="28"/>
          <w:szCs w:val="28"/>
          <w:highlight w:val="none"/>
        </w:rPr>
        <w:t xml:space="preserve"> и проходящим военную службу по мобилизации в Вооруженных Силах Российской Федерации в рамках объявленной частичной мобилизации в соответствии с Указом Президента Российской Федерации от 21 сентября 2022 г. № 647 «Об объявлении частичной мобилизации в Росс</w:t>
      </w:r>
      <w:r>
        <w:rPr>
          <w:sz w:val="28"/>
          <w:szCs w:val="28"/>
          <w:highlight w:val="none"/>
        </w:rPr>
        <w:t xml:space="preserve">ийской Федерации» и членам их семей;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ребывавшим в запасе на территории города Перми и отправленным с территории города Перми в район формирования добровольческих отрядов, заключившим контракт на участие в специальной военной операции (добровольцы), принимающим участие в специальной военной оп</w:t>
      </w:r>
      <w:r>
        <w:rPr>
          <w:sz w:val="28"/>
          <w:szCs w:val="28"/>
          <w:highlight w:val="none"/>
        </w:rPr>
        <w:t xml:space="preserve">ерации на территориях Донецкой Народной Республики, Луганской Народной Республики, Херсонской области, Запорожской области и Украины и членам их семей;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я</w:t>
      </w:r>
      <w:r>
        <w:rPr>
          <w:sz w:val="28"/>
          <w:szCs w:val="28"/>
          <w:highlight w:val="none"/>
        </w:rPr>
        <w:t xml:space="preserve">вляющимся сотрудниками Федеральной службы войск национальной гвардии Российской Федерации и принимающим участие в специальной военной операции на территориях Донецкой Народной Республики, Луганской Народной Республики, Херсонской области, Запорожской облас</w:t>
      </w:r>
      <w:r>
        <w:rPr>
          <w:sz w:val="28"/>
          <w:szCs w:val="28"/>
          <w:highlight w:val="none"/>
        </w:rPr>
        <w:t xml:space="preserve">ти и Украины и членам их семей;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я</w:t>
      </w:r>
      <w:r>
        <w:rPr>
          <w:sz w:val="28"/>
          <w:szCs w:val="28"/>
          <w:highlight w:val="none"/>
        </w:rPr>
        <w:t xml:space="preserve">влявшимся членами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 (далее – члены семей погиб</w:t>
      </w:r>
      <w:r>
        <w:rPr>
          <w:sz w:val="28"/>
          <w:szCs w:val="28"/>
          <w:highlight w:val="none"/>
        </w:rPr>
        <w:t xml:space="preserve">ших (умерших) граждан).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1.3. </w:t>
      </w:r>
      <w:r>
        <w:rPr>
          <w:sz w:val="28"/>
          <w:szCs w:val="28"/>
          <w:highlight w:val="none"/>
        </w:rPr>
        <w:t xml:space="preserve">Членами семей отдельных категорий граждан и членами семей погибших (умерших) граждан, указанных в пункте 1.2 настоящего Порядка, признаются лица, указанные в части 1 статьи 69 Жилищного кодекса Российской Федерации.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1.4. </w:t>
      </w:r>
      <w:r>
        <w:rPr>
          <w:sz w:val="28"/>
          <w:szCs w:val="28"/>
        </w:rPr>
        <w:t xml:space="preserve">Дополнительная мера социальной поддержки реализуется путем предоставления скидки 100 % от величины размера платы за пользование жилым помещением (плата за наем) в городе Перми, установленного администрацией города Перми.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1.5. </w:t>
      </w:r>
      <w:r>
        <w:rPr>
          <w:sz w:val="28"/>
          <w:szCs w:val="28"/>
          <w:highlight w:val="none"/>
        </w:rPr>
        <w:t xml:space="preserve">Предоставление дополнительной меры социальной поддержки носит заявительный характер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1.6. Предоставление дополнительной меры социальной поддержки осуществляет муниципальное казенное учреждение «Управление муниципальным жилищным фондом города Перми» (далее – Учреждение).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Дополнительная мера социальной поддержки предоставляется с даты принятия Учреждением решения о предоставлении дополнительной меры социальной поддержки.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highlight w:val="yellow"/>
        </w:rPr>
      </w:pPr>
      <w:r>
        <w:rPr>
          <w:sz w:val="28"/>
          <w:szCs w:val="28"/>
          <w:highlight w:val="none"/>
        </w:rPr>
      </w:r>
      <w:r>
        <w:rPr>
          <w:highlight w:val="yellow"/>
        </w:rPr>
      </w:r>
      <w:r>
        <w:rPr>
          <w:highlight w:val="yellow"/>
        </w:rPr>
      </w:r>
    </w:p>
    <w:p>
      <w:pPr>
        <w:jc w:val="center"/>
        <w:spacing w:line="238" w:lineRule="exact"/>
      </w:pPr>
      <w:r>
        <w:rPr>
          <w:b/>
          <w:bCs/>
          <w:sz w:val="28"/>
          <w:szCs w:val="28"/>
        </w:rPr>
        <w:t xml:space="preserve">II. Процедура предоставления </w:t>
        <w:br/>
        <w:t xml:space="preserve">дополнительной меры социальной поддержки</w:t>
      </w:r>
      <w:r/>
    </w:p>
    <w:p>
      <w:pPr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2.1. В целях получения дополнительной меры социальной поддержки </w:t>
      </w:r>
      <w:r>
        <w:rPr>
          <w:sz w:val="28"/>
          <w:szCs w:val="28"/>
          <w:highlight w:val="none"/>
        </w:rPr>
        <w:t xml:space="preserve">лица, указанные в пункте 1.2 настоящего Порядка,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направляют </w:t>
      </w:r>
      <w:r>
        <w:rPr>
          <w:sz w:val="28"/>
          <w:szCs w:val="28"/>
        </w:rPr>
        <w:t xml:space="preserve">заявление о предоставлении дополнительной меры социальной поддержки </w:t>
      </w:r>
      <w:r>
        <w:rPr>
          <w:sz w:val="28"/>
          <w:szCs w:val="28"/>
        </w:rPr>
        <w:t xml:space="preserve">(далее – заявитель, заявление)</w:t>
      </w:r>
      <w:r>
        <w:rPr>
          <w:sz w:val="28"/>
          <w:szCs w:val="28"/>
        </w:rPr>
        <w:t xml:space="preserve"> в Учреждение </w:t>
      </w:r>
      <w:r>
        <w:rPr>
          <w:sz w:val="28"/>
          <w:szCs w:val="28"/>
          <w:highlight w:val="white"/>
          <w:lang w:val="ru-RU"/>
        </w:rPr>
        <w:t xml:space="preserve">в электронном виде</w:t>
      </w:r>
      <w:r>
        <w:rPr>
          <w:highlight w:val="white"/>
          <w:lang w:val="ru-RU"/>
        </w:rPr>
        <w:t xml:space="preserve"> </w:t>
      </w:r>
      <w:r>
        <w:rPr>
          <w:sz w:val="28"/>
          <w:szCs w:val="28"/>
          <w:highlight w:val="white"/>
          <w:lang w:val="ru-RU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  <w:highlight w:val="white"/>
          <w:lang w:val="ru-RU"/>
        </w:rPr>
        <w:t xml:space="preserve">,</w:t>
      </w:r>
      <w:r>
        <w:rPr>
          <w:sz w:val="28"/>
          <w:szCs w:val="28"/>
          <w:highlight w:val="white"/>
          <w:lang w:val="ru-RU"/>
        </w:rPr>
        <w:t xml:space="preserve"> в том числе из государственного бюджетного учреждения Пермского края «Пермский краевой многофункциональный центр предоставления государственных и муниципальных услуг» </w:t>
      </w:r>
      <w:r>
        <w:rPr>
          <w:sz w:val="28"/>
          <w:szCs w:val="28"/>
          <w:highlight w:val="white"/>
          <w:lang w:val="ru-RU"/>
        </w:rPr>
        <w:t xml:space="preserve">(далее − МФЦ)</w:t>
      </w:r>
      <w:r>
        <w:rPr>
          <w:sz w:val="28"/>
          <w:szCs w:val="28"/>
          <w:highlight w:val="white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или </w:t>
      </w:r>
      <w:r>
        <w:rPr>
          <w:sz w:val="28"/>
          <w:szCs w:val="28"/>
          <w:highlight w:val="white"/>
          <w:lang w:val="ru-RU"/>
        </w:rPr>
        <w:t xml:space="preserve">в форме документа, </w:t>
      </w:r>
      <w:r>
        <w:rPr>
          <w:sz w:val="28"/>
          <w:szCs w:val="28"/>
          <w:highlight w:val="white"/>
          <w:lang w:val="ru-RU"/>
        </w:rPr>
        <w:t xml:space="preserve">оформленного на бумажном носителе, через МФЦ, оператора почтовой связи </w:t>
      </w:r>
      <w:r>
        <w:rPr>
          <w:sz w:val="28"/>
          <w:szCs w:val="28"/>
          <w:highlight w:val="white"/>
          <w:lang w:val="ru-RU"/>
        </w:rPr>
        <w:t xml:space="preserve">на почтовый адрес Учреждени</w:t>
      </w:r>
      <w:r>
        <w:rPr>
          <w:sz w:val="28"/>
          <w:szCs w:val="28"/>
          <w:highlight w:val="white"/>
          <w:lang w:val="ru-RU"/>
        </w:rPr>
        <w:t xml:space="preserve">я</w:t>
      </w:r>
      <w:r>
        <w:rPr>
          <w:sz w:val="28"/>
          <w:szCs w:val="28"/>
          <w:highlight w:val="white"/>
          <w:lang w:val="ru-RU"/>
        </w:rPr>
        <w:t xml:space="preserve">, или</w:t>
      </w:r>
      <w:r>
        <w:rPr>
          <w:sz w:val="28"/>
          <w:szCs w:val="28"/>
          <w:highlight w:val="white"/>
          <w:lang w:val="ru-RU"/>
        </w:rPr>
        <w:t xml:space="preserve"> в ходе личного приема в Учреждении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представлением документов, предусмотренных пунктом 2.2 настоящего Порядка.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white"/>
        </w:rPr>
        <w:t xml:space="preserve">От имени заявителей могут выступать их уполномоченные представители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</w:pPr>
      <w:r>
        <w:rPr>
          <w:sz w:val="28"/>
          <w:szCs w:val="28"/>
        </w:rPr>
        <w:t xml:space="preserve">В заявлении указываются фамилия, имя, отчество (последнее – при наличии) заявителя, адрес жилого помещения, </w:t>
      </w:r>
      <w:r>
        <w:rPr>
          <w:sz w:val="28"/>
          <w:szCs w:val="28"/>
          <w:highlight w:val="none"/>
        </w:rPr>
        <w:t xml:space="preserve">занимаемого заявителем </w:t>
      </w:r>
      <w:r>
        <w:rPr>
          <w:sz w:val="28"/>
          <w:szCs w:val="28"/>
          <w:highlight w:val="white"/>
        </w:rPr>
        <w:t xml:space="preserve">по договору </w:t>
      </w:r>
      <w:r>
        <w:rPr>
          <w:sz w:val="28"/>
          <w:szCs w:val="28"/>
          <w:highlight w:val="white"/>
        </w:rPr>
        <w:t xml:space="preserve">социального найма или договору найма </w:t>
      </w:r>
      <w:r>
        <w:rPr>
          <w:sz w:val="28"/>
          <w:szCs w:val="28"/>
          <w:highlight w:val="white"/>
        </w:rPr>
        <w:t xml:space="preserve">жилого помещения муниципального </w:t>
      </w:r>
      <w:r>
        <w:rPr>
          <w:sz w:val="28"/>
          <w:szCs w:val="28"/>
          <w:highlight w:val="white"/>
        </w:rPr>
        <w:t xml:space="preserve">жилищного фонда города Перми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реквизиты </w:t>
      </w:r>
      <w:r>
        <w:rPr>
          <w:sz w:val="28"/>
          <w:szCs w:val="28"/>
          <w:highlight w:val="none"/>
        </w:rPr>
        <w:t xml:space="preserve">д</w:t>
      </w:r>
      <w:r>
        <w:rPr>
          <w:sz w:val="28"/>
          <w:szCs w:val="28"/>
          <w:highlight w:val="white"/>
        </w:rPr>
        <w:t xml:space="preserve">оговора </w:t>
      </w:r>
      <w:r>
        <w:rPr>
          <w:sz w:val="28"/>
          <w:szCs w:val="28"/>
          <w:highlight w:val="white"/>
        </w:rPr>
        <w:t xml:space="preserve">социального найма или договора найма </w:t>
      </w:r>
      <w:r>
        <w:rPr>
          <w:sz w:val="28"/>
          <w:szCs w:val="28"/>
          <w:highlight w:val="white"/>
        </w:rPr>
        <w:t xml:space="preserve">жилого помещения муниципального </w:t>
      </w:r>
      <w:r>
        <w:rPr>
          <w:sz w:val="28"/>
          <w:szCs w:val="28"/>
          <w:highlight w:val="white"/>
        </w:rPr>
        <w:t xml:space="preserve">жилищного фонда города Перми</w:t>
      </w:r>
      <w:r>
        <w:t xml:space="preserve">.</w:t>
      </w:r>
      <w:r/>
    </w:p>
    <w:p>
      <w:pPr>
        <w:ind w:left="0" w:right="0" w:firstLine="709"/>
        <w:jc w:val="both"/>
      </w:pPr>
      <w:r>
        <w:rPr>
          <w:sz w:val="28"/>
          <w:szCs w:val="28"/>
        </w:rPr>
        <w:t xml:space="preserve">2.2. К заявлению прилагаются:</w:t>
      </w:r>
      <w:r>
        <w:rPr>
          <w:sz w:val="28"/>
          <w:szCs w:val="28"/>
        </w:rPr>
      </w:r>
      <w:r/>
    </w:p>
    <w:p>
      <w:pPr>
        <w:ind w:left="0" w:right="0" w:firstLine="709"/>
        <w:jc w:val="both"/>
      </w:pPr>
      <w:r>
        <w:rPr>
          <w:sz w:val="28"/>
          <w:szCs w:val="28"/>
        </w:rPr>
        <w:t xml:space="preserve">копия паспорта или иного документа, удостоверяющего личность заявителя;</w:t>
      </w:r>
      <w:r>
        <w:rPr>
          <w:sz w:val="28"/>
          <w:szCs w:val="28"/>
        </w:rPr>
      </w:r>
      <w:r/>
    </w:p>
    <w:p>
      <w:pPr>
        <w:ind w:left="0" w:right="0" w:firstLine="709"/>
        <w:jc w:val="both"/>
      </w:pPr>
      <w:r>
        <w:rPr>
          <w:sz w:val="28"/>
          <w:szCs w:val="28"/>
        </w:rPr>
        <w:t xml:space="preserve">копия паспорта или иного документа, удостоверяющего личность представителя заявителя при обращении за предоставлением </w:t>
      </w:r>
      <w:r>
        <w:rPr>
          <w:sz w:val="28"/>
          <w:szCs w:val="28"/>
        </w:rPr>
        <w:t xml:space="preserve">дополнительной меры социальной поддержки</w:t>
      </w:r>
      <w:r>
        <w:rPr>
          <w:sz w:val="28"/>
          <w:szCs w:val="28"/>
        </w:rPr>
        <w:t xml:space="preserve"> представителя заявителя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ind w:left="0" w:right="0" w:firstLine="709"/>
        <w:jc w:val="both"/>
      </w:pPr>
      <w:r>
        <w:rPr>
          <w:sz w:val="28"/>
          <w:szCs w:val="28"/>
        </w:rPr>
        <w:t xml:space="preserve">документ, подтверждающий полномочия представителя заявителя (при обращении за предоставлением муниципальной услуги представителя заявителя);</w:t>
      </w:r>
      <w:r>
        <w:rPr>
          <w:sz w:val="28"/>
          <w:szCs w:val="28"/>
        </w:rPr>
      </w:r>
      <w:r/>
    </w:p>
    <w:p>
      <w:pPr>
        <w:ind w:left="0" w:right="0" w:firstLine="709"/>
        <w:jc w:val="both"/>
        <w:widowControl w:val="off"/>
        <w:rPr>
          <w:highlight w:val="white"/>
        </w:rPr>
      </w:pPr>
      <w:r>
        <w:rPr>
          <w:rFonts w:eastAsia="Times New Roman"/>
          <w:sz w:val="28"/>
          <w:szCs w:val="28"/>
          <w:highlight w:val="none"/>
        </w:rPr>
        <w:t xml:space="preserve">копия одного из следующих документов, подтверждающих участие в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widowControl w:val="off"/>
      </w:pPr>
      <w:r>
        <w:rPr>
          <w:rFonts w:eastAsia="Times New Roman"/>
          <w:sz w:val="28"/>
          <w:szCs w:val="28"/>
          <w:highlight w:val="none"/>
        </w:rPr>
        <w:t xml:space="preserve">контракта (при наличии);</w:t>
      </w:r>
      <w:r/>
    </w:p>
    <w:p>
      <w:pPr>
        <w:ind w:left="0" w:righ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highlight w:val="none"/>
        </w:rPr>
        <w:t xml:space="preserve">выписки (справки) из приказа командира (начальника) воинской части, подразделения, штаба, органа, оперативной или иных групп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</w:r>
      <w:r>
        <w:rPr>
          <w:rFonts w:eastAsia="Times New Roman"/>
          <w:sz w:val="28"/>
          <w:szCs w:val="28"/>
          <w:highlight w:val="none"/>
        </w:rPr>
        <w:t xml:space="preserve">копия свидетельства о смерти участника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z w:val="28"/>
          <w:szCs w:val="28"/>
          <w:highlight w:val="none"/>
        </w:rPr>
        <w:t xml:space="preserve"> либо решения суда об объявлении гражданина, являвшегося участником </w:t>
      </w:r>
      <w:r>
        <w:rPr>
          <w:rFonts w:eastAsia="Times New Roman"/>
          <w:sz w:val="28"/>
          <w:szCs w:val="28"/>
          <w:highlight w:val="none"/>
        </w:rPr>
        <w:t xml:space="preserve">специальной военной операции на территориях Донецкой Народной Республики, Луганской Народной Республики, Херсонской области, Запорожской области и Украины</w:t>
      </w:r>
      <w:r>
        <w:rPr>
          <w:rFonts w:eastAsia="Times New Roman"/>
          <w:sz w:val="28"/>
          <w:szCs w:val="28"/>
          <w:highlight w:val="none"/>
        </w:rPr>
        <w:t xml:space="preserve">, умершим</w:t>
      </w:r>
      <w:r>
        <w:rPr>
          <w:rFonts w:eastAsia="Times New Roman"/>
          <w:sz w:val="28"/>
          <w:szCs w:val="28"/>
          <w:highlight w:val="white"/>
        </w:rPr>
        <w:t xml:space="preserve"> (предоставляется гражданами, указанны</w:t>
      </w:r>
      <w:r>
        <w:rPr>
          <w:rFonts w:eastAsia="Times New Roman"/>
          <w:sz w:val="28"/>
          <w:szCs w:val="28"/>
          <w:highlight w:val="white"/>
        </w:rPr>
        <w:t xml:space="preserve">ми </w:t>
      </w:r>
      <w:r>
        <w:rPr>
          <w:rFonts w:eastAsia="Times New Roman"/>
          <w:sz w:val="28"/>
          <w:szCs w:val="28"/>
          <w:highlight w:val="white"/>
        </w:rPr>
        <w:t xml:space="preserve">в абзаце пятом пункта 1.2 настоящего Порядка</w:t>
      </w:r>
      <w:r>
        <w:rPr>
          <w:rFonts w:eastAsia="Times New Roman"/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2.3. </w:t>
      </w:r>
      <w:r>
        <w:rPr>
          <w:sz w:val="28"/>
          <w:szCs w:val="28"/>
        </w:rPr>
        <w:t xml:space="preserve">Копии документов, указанных в пункте 2.2 настоящего Порядка, должны быть представлены </w:t>
      </w:r>
      <w:r>
        <w:rPr>
          <w:sz w:val="28"/>
          <w:szCs w:val="28"/>
          <w:highlight w:val="white"/>
        </w:rPr>
        <w:t xml:space="preserve">с оригиналами документов либо быть </w:t>
      </w:r>
      <w:r>
        <w:rPr>
          <w:sz w:val="28"/>
          <w:szCs w:val="28"/>
          <w:highlight w:val="white"/>
        </w:rPr>
        <w:t xml:space="preserve">заверены в соответствии с законодательством Российской Федерации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  <w:t xml:space="preserve">С</w:t>
      </w:r>
      <w:r>
        <w:rPr>
          <w:rFonts w:eastAsia="Times New Roman"/>
          <w:sz w:val="28"/>
          <w:szCs w:val="28"/>
          <w:highlight w:val="white"/>
        </w:rPr>
        <w:t xml:space="preserve">отрудник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Учреждения</w:t>
      </w:r>
      <w:r>
        <w:rPr>
          <w:rFonts w:eastAsia="Times New Roman"/>
          <w:sz w:val="28"/>
          <w:szCs w:val="28"/>
          <w:highlight w:val="white"/>
        </w:rPr>
        <w:t xml:space="preserve">, МФЦ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проверяет копии представленных заявителем (представителем заявителя) документов (за исключением нотариально заверенных) на соответствие их оригиналам</w:t>
      </w:r>
      <w:r>
        <w:rPr>
          <w:rFonts w:eastAsia="Times New Roman"/>
          <w:sz w:val="28"/>
          <w:szCs w:val="28"/>
          <w:highlight w:val="none"/>
        </w:rPr>
        <w:t xml:space="preserve">, после чего </w:t>
      </w:r>
      <w:r>
        <w:rPr>
          <w:rFonts w:eastAsia="Times New Roman"/>
          <w:sz w:val="28"/>
          <w:szCs w:val="28"/>
          <w:highlight w:val="white"/>
        </w:rPr>
        <w:t xml:space="preserve">незамедлительно </w:t>
      </w:r>
      <w:r>
        <w:rPr>
          <w:rFonts w:eastAsia="Times New Roman"/>
          <w:sz w:val="28"/>
          <w:szCs w:val="28"/>
          <w:highlight w:val="white"/>
        </w:rPr>
        <w:t xml:space="preserve">возвращает оригиналы документов заявителю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none"/>
        </w:rPr>
        <w:t xml:space="preserve">2.4. </w:t>
      </w:r>
      <w:r>
        <w:rPr>
          <w:sz w:val="28"/>
          <w:szCs w:val="28"/>
          <w:highlight w:val="white"/>
        </w:rPr>
        <w:t xml:space="preserve">Регистрация заявления осуществляется в день его поступления </w:t>
        <w:br/>
        <w:t xml:space="preserve">в Учреждение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709"/>
        <w:jc w:val="both"/>
        <w:rPr>
          <w:rFonts w:eastAsia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2.5. </w:t>
      </w:r>
      <w:r>
        <w:rPr>
          <w:rFonts w:eastAsia="Times New Roman"/>
          <w:sz w:val="28"/>
          <w:szCs w:val="28"/>
          <w:highlight w:val="none"/>
        </w:rPr>
        <w:t xml:space="preserve">Учреждение в течение 7 рабочих дней с д</w:t>
      </w:r>
      <w:r>
        <w:rPr>
          <w:rFonts w:eastAsia="Times New Roman"/>
          <w:sz w:val="28"/>
          <w:szCs w:val="28"/>
          <w:highlight w:val="none"/>
        </w:rPr>
        <w:t xml:space="preserve">аты регистрации заявления рассматривает заявление, документы, указанные в пункте 2.2 настоящего Порядка, устанавливает статус членов семей отдельных категорий граждан или членов семей погибших (умерших) граждан, указанных в пункте 1.2 настоящего Порядка, </w:t>
        <w:br/>
      </w:r>
      <w:r>
        <w:rPr>
          <w:rFonts w:eastAsia="Times New Roman"/>
          <w:sz w:val="28"/>
          <w:szCs w:val="28"/>
          <w:highlight w:val="none"/>
        </w:rPr>
        <w:t xml:space="preserve">на основании документов, находящихся в распоряжении Учреждения, и принимает одно из следующих решений:</w:t>
      </w:r>
      <w:r>
        <w:rPr>
          <w:rFonts w:eastAsia="Times New Roman"/>
          <w:sz w:val="28"/>
          <w:szCs w:val="28"/>
          <w:highlight w:val="none"/>
        </w:rPr>
      </w:r>
      <w:r>
        <w:rPr>
          <w:rFonts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 предоставлении дополнительной меры социальной поддержки </w:t>
      </w:r>
      <w:r>
        <w:rPr>
          <w:sz w:val="28"/>
          <w:szCs w:val="28"/>
        </w:rPr>
        <w:t xml:space="preserve">с указанием даты предоставления дополнительной меры социальной поддержки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об отказе в предоставлении дополнительной меры социальной поддержки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по основаниям, установленным пунктом 2.6 настоящего Порядка,</w:t>
      </w:r>
      <w:r>
        <w:rPr>
          <w:sz w:val="28"/>
          <w:szCs w:val="28"/>
        </w:rPr>
        <w:t xml:space="preserve"> с указанием оснований для принятия решения об отказе в предоставлении дополнительной меры социальной поддержки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Р</w:t>
      </w:r>
      <w:r>
        <w:rPr>
          <w:sz w:val="28"/>
          <w:szCs w:val="28"/>
          <w:highlight w:val="white"/>
        </w:rPr>
        <w:t xml:space="preserve">ешения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Учреждения, указанные в настоящем пункте,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 xml:space="preserve">в зависимости </w:t>
        <w:br/>
        <w:t xml:space="preserve">от выбранного заявителем способа получения результата </w:t>
      </w:r>
      <w:r>
        <w:rPr>
          <w:rFonts w:eastAsia="Times New Roman"/>
          <w:sz w:val="28"/>
          <w:szCs w:val="28"/>
          <w:highlight w:val="none"/>
        </w:rPr>
        <w:t xml:space="preserve">рассмотрения заявления</w:t>
      </w:r>
      <w:r>
        <w:rPr>
          <w:rFonts w:eastAsia="Times New Roman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выдаются Учреждением заявителю или </w:t>
      </w:r>
      <w:r>
        <w:rPr>
          <w:sz w:val="28"/>
          <w:szCs w:val="28"/>
          <w:highlight w:val="white"/>
        </w:rPr>
        <w:t xml:space="preserve">направляются Учреждением заявителю </w:t>
      </w:r>
      <w:r>
        <w:rPr>
          <w:rFonts w:eastAsia="Times New Roman"/>
          <w:sz w:val="28"/>
          <w:szCs w:val="28"/>
          <w:highlight w:val="white"/>
        </w:rPr>
        <w:t xml:space="preserve">через оператора почтовой связи на почтовый адрес, указанный в заявлении</w:t>
      </w:r>
      <w:r>
        <w:rPr>
          <w:rFonts w:eastAsia="Times New Roman"/>
          <w:sz w:val="28"/>
          <w:szCs w:val="28"/>
          <w:highlight w:val="white"/>
        </w:rPr>
        <w:t xml:space="preserve">, или </w:t>
        <w:br/>
      </w:r>
      <w:r>
        <w:rPr>
          <w:rFonts w:eastAsia="Times New Roman"/>
          <w:sz w:val="28"/>
          <w:szCs w:val="28"/>
          <w:highlight w:val="white"/>
        </w:rPr>
        <w:t xml:space="preserve">в МФЦ</w:t>
      </w:r>
      <w:r>
        <w:rPr>
          <w:rFonts w:eastAsia="Times New Roman"/>
          <w:sz w:val="28"/>
          <w:szCs w:val="28"/>
          <w:highlight w:val="white"/>
        </w:rPr>
        <w:t xml:space="preserve"> для выдачи заявителю.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2.6. Основаниями для принятия решения об отказе в предоставлении дополнительной меры социальной поддержки являются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line="283" w:lineRule="atLeast"/>
        <w:rPr>
          <w:rFonts w:eastAsia="Times New Roman"/>
          <w:strike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sz w:val="28"/>
          <w:szCs w:val="28"/>
          <w:highlight w:val="white"/>
        </w:rPr>
        <w:t xml:space="preserve">представлены документы, которые не подтверждают право </w:t>
      </w:r>
      <w:r>
        <w:rPr>
          <w:rFonts w:eastAsia="Times New Roman"/>
          <w:sz w:val="28"/>
          <w:szCs w:val="28"/>
          <w:highlight w:val="white"/>
        </w:rPr>
        <w:t xml:space="preserve">заявителя</w:t>
      </w:r>
      <w:r>
        <w:rPr>
          <w:rFonts w:eastAsia="Times New Roman"/>
          <w:sz w:val="28"/>
          <w:szCs w:val="28"/>
          <w:highlight w:val="white"/>
        </w:rPr>
        <w:t xml:space="preserve"> на предоставление дополнительной меры социальной поддержки;</w:t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  <w:r>
        <w:rPr>
          <w:rFonts w:eastAsia="Times New Roman"/>
          <w:strike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imes New Roman"/>
          <w:color w:val="auto"/>
          <w:sz w:val="28"/>
          <w:szCs w:val="28"/>
          <w:highlight w:val="none"/>
        </w:rPr>
      </w:r>
      <w:r>
        <w:rPr>
          <w:rFonts w:eastAsia="Times New Roman"/>
          <w:color w:val="auto"/>
          <w:sz w:val="28"/>
          <w:szCs w:val="28"/>
        </w:rPr>
        <w:t xml:space="preserve">не представлены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 или представлены не в полном объеме документы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, предусмотренные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пунктами 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2.2, 2.3</w:t>
      </w:r>
      <w:r>
        <w:rPr>
          <w:rFonts w:eastAsia="Times New Roman"/>
          <w:color w:val="auto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auto"/>
          <w:sz w:val="28"/>
          <w:szCs w:val="28"/>
        </w:rPr>
        <w:t xml:space="preserve">настоящего Порядка</w:t>
      </w:r>
      <w:r>
        <w:rPr>
          <w:rFonts w:eastAsia="Times New Roman"/>
          <w:sz w:val="28"/>
          <w:szCs w:val="28"/>
          <w:highlight w:val="none"/>
        </w:rPr>
        <w:t xml:space="preserve">;</w:t>
      </w:r>
      <w:r>
        <w:rPr>
          <w:rFonts w:eastAsia="Times New Roman"/>
          <w:sz w:val="28"/>
          <w:szCs w:val="28"/>
          <w:highlight w:val="white"/>
        </w:rPr>
      </w:r>
      <w:r>
        <w:rPr>
          <w:rFonts w:eastAsia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line="240" w:lineRule="auto"/>
        <w:rPr>
          <w:rFonts w:eastAsia="Times New Roman"/>
          <w:color w:val="auto"/>
          <w:sz w:val="28"/>
          <w:szCs w:val="28"/>
          <w:highlight w:val="red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представлены недостоверные сведения или документы, установленные </w:t>
      </w:r>
      <w:r>
        <w:rPr>
          <w:sz w:val="28"/>
          <w:szCs w:val="28"/>
          <w:highlight w:val="white"/>
        </w:rPr>
        <w:t xml:space="preserve">пунктом 2.2 настоящего Порядка.</w:t>
      </w:r>
      <w:r>
        <w:rPr>
          <w:rFonts w:eastAsia="Times New Roman"/>
          <w:color w:val="auto"/>
          <w:sz w:val="28"/>
          <w:szCs w:val="28"/>
          <w:highlight w:val="red"/>
        </w:rPr>
      </w:r>
      <w:r>
        <w:rPr>
          <w:rFonts w:eastAsia="Times New Roman"/>
          <w:color w:val="auto"/>
          <w:sz w:val="28"/>
          <w:szCs w:val="28"/>
          <w:highlight w:val="red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2.7. В случае принятия решения об отказе </w:t>
      </w:r>
      <w:r>
        <w:rPr>
          <w:sz w:val="28"/>
          <w:szCs w:val="28"/>
          <w:highlight w:val="white"/>
        </w:rPr>
        <w:t xml:space="preserve">в предоставлении дополнительной меры социальной поддержки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заявитель вправе повторно направить в Учреждение  заявление.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hd w:val="nil" w:color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III. Заключительные положения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both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ind w:left="0" w:right="0"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Вопросы, не урегулированные настоящим Порядком, разрешаются </w:t>
        <w:br/>
        <w:t xml:space="preserve">в соответствии с действующим законодательством Российской Федерации.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00603000000000000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884"/>
      </w:rPr>
      <w:framePr w:wrap="around" w:vAnchor="text" w:hAnchor="margin" w:xAlign="center" w:y="1"/>
    </w:pPr>
    <w:r>
      <w:rPr>
        <w:rStyle w:val="884"/>
      </w:rPr>
      <w:fldChar w:fldCharType="begin"/>
    </w:r>
    <w:r>
      <w:rPr>
        <w:rStyle w:val="884"/>
      </w:rPr>
      <w:instrText xml:space="preserve">PAGE  </w:instrText>
    </w:r>
    <w:r>
      <w:rPr>
        <w:rStyle w:val="884"/>
      </w:rPr>
      <w:fldChar w:fldCharType="end"/>
    </w:r>
    <w:r>
      <w:rPr>
        <w:rStyle w:val="884"/>
      </w:rPr>
    </w:r>
    <w:r>
      <w:rPr>
        <w:rStyle w:val="884"/>
      </w:rPr>
    </w:r>
  </w:p>
  <w:p>
    <w:pPr>
      <w:pStyle w:val="88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877"/>
    <w:link w:val="875"/>
    <w:uiPriority w:val="9"/>
    <w:rPr>
      <w:rFonts w:ascii="Arial" w:hAnsi="Arial" w:eastAsia="Arial" w:cs="Arial"/>
      <w:sz w:val="40"/>
      <w:szCs w:val="40"/>
    </w:rPr>
  </w:style>
  <w:style w:type="character" w:styleId="706">
    <w:name w:val="Heading 2 Char"/>
    <w:basedOn w:val="877"/>
    <w:link w:val="876"/>
    <w:uiPriority w:val="9"/>
    <w:rPr>
      <w:rFonts w:ascii="Arial" w:hAnsi="Arial" w:eastAsia="Arial" w:cs="Arial"/>
      <w:sz w:val="34"/>
    </w:rPr>
  </w:style>
  <w:style w:type="paragraph" w:styleId="707">
    <w:name w:val="Heading 3"/>
    <w:basedOn w:val="874"/>
    <w:next w:val="874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7"/>
    <w:link w:val="707"/>
    <w:uiPriority w:val="9"/>
    <w:rPr>
      <w:rFonts w:ascii="Arial" w:hAnsi="Arial" w:eastAsia="Arial" w:cs="Arial"/>
      <w:sz w:val="30"/>
      <w:szCs w:val="30"/>
    </w:rPr>
  </w:style>
  <w:style w:type="paragraph" w:styleId="709">
    <w:name w:val="Heading 4"/>
    <w:basedOn w:val="874"/>
    <w:next w:val="874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7"/>
    <w:link w:val="709"/>
    <w:uiPriority w:val="9"/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4"/>
    <w:next w:val="874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7"/>
    <w:link w:val="711"/>
    <w:uiPriority w:val="9"/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4"/>
    <w:next w:val="874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7"/>
    <w:link w:val="713"/>
    <w:uiPriority w:val="9"/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4"/>
    <w:next w:val="874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7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4"/>
    <w:next w:val="874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7"/>
    <w:link w:val="717"/>
    <w:uiPriority w:val="9"/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4"/>
    <w:next w:val="874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7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21">
    <w:name w:val="Title"/>
    <w:basedOn w:val="874"/>
    <w:next w:val="874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basedOn w:val="877"/>
    <w:link w:val="721"/>
    <w:uiPriority w:val="10"/>
    <w:rPr>
      <w:sz w:val="48"/>
      <w:szCs w:val="48"/>
    </w:rPr>
  </w:style>
  <w:style w:type="paragraph" w:styleId="723">
    <w:name w:val="Subtitle"/>
    <w:basedOn w:val="874"/>
    <w:next w:val="874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basedOn w:val="877"/>
    <w:link w:val="723"/>
    <w:uiPriority w:val="11"/>
    <w:rPr>
      <w:sz w:val="24"/>
      <w:szCs w:val="24"/>
    </w:rPr>
  </w:style>
  <w:style w:type="paragraph" w:styleId="725">
    <w:name w:val="Quote"/>
    <w:basedOn w:val="874"/>
    <w:next w:val="874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4"/>
    <w:next w:val="874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character" w:styleId="729">
    <w:name w:val="Header Char"/>
    <w:basedOn w:val="877"/>
    <w:link w:val="885"/>
    <w:uiPriority w:val="99"/>
  </w:style>
  <w:style w:type="character" w:styleId="730">
    <w:name w:val="Footer Char"/>
    <w:basedOn w:val="877"/>
    <w:link w:val="883"/>
    <w:uiPriority w:val="99"/>
  </w:style>
  <w:style w:type="character" w:styleId="731">
    <w:name w:val="Caption Char"/>
    <w:basedOn w:val="877"/>
    <w:link w:val="88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 Light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Plain Table 1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2"/>
    <w:basedOn w:val="8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6">
    <w:name w:val="Plain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Plain Table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8">
    <w:name w:val="Grid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0">
    <w:name w:val="Grid Table 4 - Accent 1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1">
    <w:name w:val="Grid Table 4 - Accent 2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Grid Table 4 - Accent 3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3">
    <w:name w:val="Grid Table 4 - Accent 4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Grid Table 4 - Accent 5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5">
    <w:name w:val="Grid Table 4 - Accent 6"/>
    <w:basedOn w:val="8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6">
    <w:name w:val="Grid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3">
    <w:name w:val="Grid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4">
    <w:name w:val="Grid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5">
    <w:name w:val="Grid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6">
    <w:name w:val="Grid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7">
    <w:name w:val="Grid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8">
    <w:name w:val="Grid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5">
    <w:name w:val="List Table 2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6">
    <w:name w:val="List Table 2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7">
    <w:name w:val="List Table 2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8">
    <w:name w:val="List Table 2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9">
    <w:name w:val="List Table 2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0">
    <w:name w:val="List Table 2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1">
    <w:name w:val="List Table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5 Dark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6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3">
    <w:name w:val="List Table 6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4">
    <w:name w:val="List Table 6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5">
    <w:name w:val="List Table 6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6">
    <w:name w:val="List Table 6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7">
    <w:name w:val="List Table 6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8">
    <w:name w:val="List Table 6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9">
    <w:name w:val="List Table 7 Colorful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0">
    <w:name w:val="List Table 7 Colorful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1">
    <w:name w:val="List Table 7 Colorful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2">
    <w:name w:val="List Table 7 Colorful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3">
    <w:name w:val="List Table 7 Colorful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4">
    <w:name w:val="List Table 7 Colorful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5">
    <w:name w:val="List Table 7 Colorful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6">
    <w:name w:val="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8">
    <w:name w:val="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9">
    <w:name w:val="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0">
    <w:name w:val="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1">
    <w:name w:val="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2">
    <w:name w:val="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3">
    <w:name w:val="Bordered &amp; Lined - Accent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Bordered &amp; Lined - Accent 1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Bordered &amp; Lined - Accent 2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Bordered &amp; Lined - Accent 3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Bordered &amp; Lined - Accent 4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Bordered &amp; Lined - Accent 5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Bordered &amp; Lined - Accent 6"/>
    <w:basedOn w:val="8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1">
    <w:name w:val="Bordered - Accent 1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2">
    <w:name w:val="Bordered - Accent 2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3">
    <w:name w:val="Bordered - Accent 3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4">
    <w:name w:val="Bordered - Accent 4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5">
    <w:name w:val="Bordered - Accent 5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6">
    <w:name w:val="Bordered - Accent 6"/>
    <w:basedOn w:val="8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7">
    <w:name w:val="footnote text"/>
    <w:basedOn w:val="874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>
    <w:name w:val="Footnote Text Char"/>
    <w:link w:val="857"/>
    <w:uiPriority w:val="99"/>
    <w:rPr>
      <w:sz w:val="18"/>
    </w:rPr>
  </w:style>
  <w:style w:type="character" w:styleId="859">
    <w:name w:val="footnote reference"/>
    <w:basedOn w:val="877"/>
    <w:uiPriority w:val="99"/>
    <w:unhideWhenUsed/>
    <w:rPr>
      <w:vertAlign w:val="superscript"/>
    </w:rPr>
  </w:style>
  <w:style w:type="paragraph" w:styleId="860">
    <w:name w:val="endnote text"/>
    <w:basedOn w:val="874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>
    <w:name w:val="Endnote Text Char"/>
    <w:link w:val="860"/>
    <w:uiPriority w:val="99"/>
    <w:rPr>
      <w:sz w:val="20"/>
    </w:rPr>
  </w:style>
  <w:style w:type="character" w:styleId="862">
    <w:name w:val="endnote reference"/>
    <w:basedOn w:val="877"/>
    <w:uiPriority w:val="99"/>
    <w:semiHidden/>
    <w:unhideWhenUsed/>
    <w:rPr>
      <w:vertAlign w:val="superscript"/>
    </w:rPr>
  </w:style>
  <w:style w:type="paragraph" w:styleId="863">
    <w:name w:val="toc 1"/>
    <w:basedOn w:val="874"/>
    <w:next w:val="874"/>
    <w:uiPriority w:val="39"/>
    <w:unhideWhenUsed/>
    <w:pPr>
      <w:ind w:left="0" w:right="0" w:firstLine="0"/>
      <w:spacing w:after="57"/>
    </w:pPr>
  </w:style>
  <w:style w:type="paragraph" w:styleId="864">
    <w:name w:val="toc 2"/>
    <w:basedOn w:val="874"/>
    <w:next w:val="874"/>
    <w:uiPriority w:val="39"/>
    <w:unhideWhenUsed/>
    <w:pPr>
      <w:ind w:left="283" w:right="0" w:firstLine="0"/>
      <w:spacing w:after="57"/>
    </w:pPr>
  </w:style>
  <w:style w:type="paragraph" w:styleId="865">
    <w:name w:val="toc 3"/>
    <w:basedOn w:val="874"/>
    <w:next w:val="874"/>
    <w:uiPriority w:val="39"/>
    <w:unhideWhenUsed/>
    <w:pPr>
      <w:ind w:left="567" w:right="0" w:firstLine="0"/>
      <w:spacing w:after="57"/>
    </w:pPr>
  </w:style>
  <w:style w:type="paragraph" w:styleId="866">
    <w:name w:val="toc 4"/>
    <w:basedOn w:val="874"/>
    <w:next w:val="874"/>
    <w:uiPriority w:val="39"/>
    <w:unhideWhenUsed/>
    <w:pPr>
      <w:ind w:left="850" w:right="0" w:firstLine="0"/>
      <w:spacing w:after="57"/>
    </w:pPr>
  </w:style>
  <w:style w:type="paragraph" w:styleId="867">
    <w:name w:val="toc 5"/>
    <w:basedOn w:val="874"/>
    <w:next w:val="874"/>
    <w:uiPriority w:val="39"/>
    <w:unhideWhenUsed/>
    <w:pPr>
      <w:ind w:left="1134" w:right="0" w:firstLine="0"/>
      <w:spacing w:after="57"/>
    </w:pPr>
  </w:style>
  <w:style w:type="paragraph" w:styleId="868">
    <w:name w:val="toc 6"/>
    <w:basedOn w:val="874"/>
    <w:next w:val="874"/>
    <w:uiPriority w:val="39"/>
    <w:unhideWhenUsed/>
    <w:pPr>
      <w:ind w:left="1417" w:right="0" w:firstLine="0"/>
      <w:spacing w:after="57"/>
    </w:pPr>
  </w:style>
  <w:style w:type="paragraph" w:styleId="869">
    <w:name w:val="toc 7"/>
    <w:basedOn w:val="874"/>
    <w:next w:val="874"/>
    <w:uiPriority w:val="39"/>
    <w:unhideWhenUsed/>
    <w:pPr>
      <w:ind w:left="1701" w:right="0" w:firstLine="0"/>
      <w:spacing w:after="57"/>
    </w:pPr>
  </w:style>
  <w:style w:type="paragraph" w:styleId="870">
    <w:name w:val="toc 8"/>
    <w:basedOn w:val="874"/>
    <w:next w:val="874"/>
    <w:uiPriority w:val="39"/>
    <w:unhideWhenUsed/>
    <w:pPr>
      <w:ind w:left="1984" w:right="0" w:firstLine="0"/>
      <w:spacing w:after="57"/>
    </w:pPr>
  </w:style>
  <w:style w:type="paragraph" w:styleId="871">
    <w:name w:val="toc 9"/>
    <w:basedOn w:val="874"/>
    <w:next w:val="874"/>
    <w:uiPriority w:val="39"/>
    <w:unhideWhenUsed/>
    <w:pPr>
      <w:ind w:left="2268" w:right="0" w:firstLine="0"/>
      <w:spacing w:after="57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874"/>
    <w:next w:val="874"/>
    <w:uiPriority w:val="99"/>
    <w:unhideWhenUsed/>
    <w:pPr>
      <w:spacing w:after="0" w:afterAutospacing="0"/>
    </w:pPr>
  </w:style>
  <w:style w:type="paragraph" w:styleId="874" w:default="1">
    <w:name w:val="Normal"/>
    <w:qFormat/>
  </w:style>
  <w:style w:type="paragraph" w:styleId="875">
    <w:name w:val="Heading 1"/>
    <w:basedOn w:val="874"/>
    <w:next w:val="874"/>
    <w:qFormat/>
    <w:pPr>
      <w:ind w:right="-1" w:firstLine="709"/>
      <w:jc w:val="both"/>
      <w:keepNext/>
      <w:outlineLvl w:val="0"/>
    </w:pPr>
    <w:rPr>
      <w:sz w:val="24"/>
    </w:rPr>
  </w:style>
  <w:style w:type="paragraph" w:styleId="876">
    <w:name w:val="Heading 2"/>
    <w:basedOn w:val="874"/>
    <w:next w:val="874"/>
    <w:qFormat/>
    <w:pPr>
      <w:ind w:right="-1"/>
      <w:jc w:val="both"/>
      <w:keepNext/>
      <w:outlineLvl w:val="1"/>
    </w:pPr>
    <w:rPr>
      <w:sz w:val="24"/>
    </w:rPr>
  </w:style>
  <w:style w:type="character" w:styleId="877" w:default="1">
    <w:name w:val="Default Paragraph Font"/>
    <w:semiHidden/>
  </w:style>
  <w:style w:type="table" w:styleId="878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9" w:default="1">
    <w:name w:val="No List"/>
    <w:semiHidden/>
  </w:style>
  <w:style w:type="paragraph" w:styleId="880">
    <w:name w:val="Caption"/>
    <w:basedOn w:val="874"/>
    <w:next w:val="874"/>
    <w:link w:val="73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1">
    <w:name w:val="Body Text"/>
    <w:basedOn w:val="874"/>
    <w:link w:val="909"/>
    <w:pPr>
      <w:ind w:right="3117"/>
    </w:pPr>
    <w:rPr>
      <w:rFonts w:ascii="Courier New" w:hAnsi="Courier New"/>
      <w:sz w:val="26"/>
    </w:rPr>
  </w:style>
  <w:style w:type="paragraph" w:styleId="882">
    <w:name w:val="Body Text Indent"/>
    <w:basedOn w:val="874"/>
    <w:pPr>
      <w:ind w:right="-1"/>
      <w:jc w:val="both"/>
    </w:pPr>
    <w:rPr>
      <w:sz w:val="26"/>
    </w:rPr>
  </w:style>
  <w:style w:type="paragraph" w:styleId="883">
    <w:name w:val="Footer"/>
    <w:basedOn w:val="874"/>
    <w:link w:val="968"/>
    <w:uiPriority w:val="99"/>
    <w:pPr>
      <w:tabs>
        <w:tab w:val="center" w:pos="4153" w:leader="none"/>
        <w:tab w:val="right" w:pos="8306" w:leader="none"/>
      </w:tabs>
    </w:pPr>
  </w:style>
  <w:style w:type="character" w:styleId="884">
    <w:name w:val="page number"/>
    <w:basedOn w:val="877"/>
  </w:style>
  <w:style w:type="paragraph" w:styleId="885">
    <w:name w:val="Header"/>
    <w:basedOn w:val="874"/>
    <w:link w:val="888"/>
    <w:uiPriority w:val="99"/>
    <w:pPr>
      <w:tabs>
        <w:tab w:val="center" w:pos="4153" w:leader="none"/>
        <w:tab w:val="right" w:pos="8306" w:leader="none"/>
      </w:tabs>
    </w:pPr>
  </w:style>
  <w:style w:type="paragraph" w:styleId="886">
    <w:name w:val="Balloon Text"/>
    <w:basedOn w:val="874"/>
    <w:link w:val="887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link w:val="886"/>
    <w:uiPriority w:val="99"/>
    <w:rPr>
      <w:rFonts w:ascii="Segoe UI" w:hAnsi="Segoe UI" w:cs="Segoe UI"/>
      <w:sz w:val="18"/>
      <w:szCs w:val="18"/>
    </w:rPr>
  </w:style>
  <w:style w:type="character" w:styleId="888" w:customStyle="1">
    <w:name w:val="Верхний колонтитул Знак"/>
    <w:link w:val="885"/>
    <w:uiPriority w:val="99"/>
  </w:style>
  <w:style w:type="numbering" w:styleId="889" w:customStyle="1">
    <w:name w:val="Нет списка1"/>
    <w:next w:val="879"/>
    <w:uiPriority w:val="99"/>
    <w:semiHidden/>
    <w:unhideWhenUsed/>
  </w:style>
  <w:style w:type="paragraph" w:styleId="89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1">
    <w:name w:val="Hyperlink"/>
    <w:uiPriority w:val="99"/>
    <w:unhideWhenUsed/>
    <w:rPr>
      <w:color w:val="0000ff"/>
      <w:u w:val="single"/>
    </w:rPr>
  </w:style>
  <w:style w:type="character" w:styleId="892">
    <w:name w:val="FollowedHyperlink"/>
    <w:uiPriority w:val="99"/>
    <w:unhideWhenUsed/>
    <w:rPr>
      <w:color w:val="800080"/>
      <w:u w:val="single"/>
    </w:rPr>
  </w:style>
  <w:style w:type="paragraph" w:styleId="893" w:customStyle="1">
    <w:name w:val="xl65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5" w:customStyle="1">
    <w:name w:val="xl67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6" w:customStyle="1">
    <w:name w:val="xl6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7" w:customStyle="1">
    <w:name w:val="xl69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8" w:customStyle="1">
    <w:name w:val="xl70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71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2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3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4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5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6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7"/>
    <w:basedOn w:val="874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8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9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Форма"/>
    <w:rPr>
      <w:sz w:val="28"/>
      <w:szCs w:val="28"/>
    </w:rPr>
  </w:style>
  <w:style w:type="character" w:styleId="909" w:customStyle="1">
    <w:name w:val="Основной текст Знак"/>
    <w:link w:val="881"/>
    <w:rPr>
      <w:rFonts w:ascii="Courier New" w:hAnsi="Courier New"/>
      <w:sz w:val="26"/>
    </w:rPr>
  </w:style>
  <w:style w:type="paragraph" w:styleId="910" w:customStyle="1">
    <w:name w:val="ConsPlusNormal"/>
    <w:rPr>
      <w:sz w:val="28"/>
      <w:szCs w:val="28"/>
    </w:rPr>
  </w:style>
  <w:style w:type="numbering" w:styleId="911" w:customStyle="1">
    <w:name w:val="Нет списка11"/>
    <w:next w:val="879"/>
    <w:uiPriority w:val="99"/>
    <w:semiHidden/>
    <w:unhideWhenUsed/>
  </w:style>
  <w:style w:type="numbering" w:styleId="912" w:customStyle="1">
    <w:name w:val="Нет списка111"/>
    <w:next w:val="879"/>
    <w:uiPriority w:val="99"/>
    <w:semiHidden/>
    <w:unhideWhenUsed/>
  </w:style>
  <w:style w:type="paragraph" w:styleId="913" w:customStyle="1">
    <w:name w:val="font5"/>
    <w:basedOn w:val="874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4" w:customStyle="1">
    <w:name w:val="xl8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1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6" w:customStyle="1">
    <w:name w:val="xl82"/>
    <w:basedOn w:val="874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7">
    <w:name w:val="Table Grid"/>
    <w:basedOn w:val="878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 w:customStyle="1">
    <w:name w:val="xl8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8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4" w:customStyle="1">
    <w:name w:val="xl89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0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8" w:customStyle="1">
    <w:name w:val="xl9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4"/>
    <w:basedOn w:val="874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8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4" w:customStyle="1">
    <w:name w:val="xl99"/>
    <w:basedOn w:val="874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10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1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2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6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7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8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9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0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1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2"/>
    <w:basedOn w:val="874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8" w:customStyle="1">
    <w:name w:val="xl113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4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0" w:customStyle="1">
    <w:name w:val="xl115"/>
    <w:basedOn w:val="874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1" w:customStyle="1">
    <w:name w:val="xl116"/>
    <w:basedOn w:val="874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7"/>
    <w:basedOn w:val="874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8"/>
    <w:basedOn w:val="874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9"/>
    <w:basedOn w:val="874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20"/>
    <w:basedOn w:val="874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1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7" w:customStyle="1">
    <w:name w:val="xl122"/>
    <w:basedOn w:val="874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23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4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0" w:customStyle="1">
    <w:name w:val="xl125"/>
    <w:basedOn w:val="874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1" w:customStyle="1">
    <w:name w:val="Нет списка2"/>
    <w:next w:val="879"/>
    <w:uiPriority w:val="99"/>
    <w:semiHidden/>
    <w:unhideWhenUsed/>
  </w:style>
  <w:style w:type="numbering" w:styleId="962" w:customStyle="1">
    <w:name w:val="Нет списка3"/>
    <w:next w:val="879"/>
    <w:uiPriority w:val="99"/>
    <w:semiHidden/>
    <w:unhideWhenUsed/>
  </w:style>
  <w:style w:type="paragraph" w:styleId="963" w:customStyle="1">
    <w:name w:val="font6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7"/>
    <w:basedOn w:val="87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5" w:customStyle="1">
    <w:name w:val="font8"/>
    <w:basedOn w:val="8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6" w:customStyle="1">
    <w:name w:val="Нет списка4"/>
    <w:next w:val="879"/>
    <w:uiPriority w:val="99"/>
    <w:semiHidden/>
    <w:unhideWhenUsed/>
  </w:style>
  <w:style w:type="paragraph" w:styleId="967">
    <w:name w:val="List Paragraph"/>
    <w:basedOn w:val="87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Нижний колонтитул Знак"/>
    <w:link w:val="883"/>
    <w:uiPriority w:val="99"/>
  </w:style>
  <w:style w:type="paragraph" w:styleId="969" w:customStyle="1">
    <w:name w:val="ConsPlusNonformat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SimSu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70" w:customStyle="1">
    <w:name w:val="ConsPlusNormal1"/>
    <w:link w:val="93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36</cp:revision>
  <dcterms:created xsi:type="dcterms:W3CDTF">2024-10-25T06:26:00Z</dcterms:created>
  <dcterms:modified xsi:type="dcterms:W3CDTF">2026-07-31T10:34:31Z</dcterms:modified>
</cp:coreProperties>
</file>