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widowControl w:val="off"/>
        <w:rPr>
          <w:sz w:val="24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-459651</wp:posOffset>
                </wp:positionV>
                <wp:extent cx="407035" cy="495300"/>
                <wp:effectExtent l="0" t="0" r="0" b="0"/>
                <wp:wrapNone/>
                <wp:docPr id="1" name="Рисунок 13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774802" name="Picture 10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36.30pt;mso-position-horizontal:absolute;mso-position-vertical-relative:text;margin-top:-36.19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pStyle w:val="90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-666750</wp:posOffset>
                </wp:positionV>
                <wp:extent cx="6285864" cy="1790057"/>
                <wp:effectExtent l="0" t="0" r="0" b="0"/>
                <wp:wrapNone/>
                <wp:docPr id="2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790056"/>
                          <a:chOff x="0" y="0"/>
                          <a:chExt cx="6285863" cy="1790056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3" cy="17900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Cs w:val="28"/>
                                </w:rPr>
                              </w:r>
                              <w:r>
                                <w:rPr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343110" y="1464782"/>
                            <a:ext cx="1536063" cy="32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4940298" y="1464782"/>
                            <a:ext cx="1085850" cy="325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Cs w:val="28"/>
                                  <w:u w:val="single"/>
                                </w:rPr>
                                <w:t xml:space="preserve">№ 464</w:t>
                              </w:r>
                              <w:r>
                                <w:rPr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1.10pt;mso-position-horizontal:absolute;mso-position-vertical-relative:text;margin-top:-52.50pt;mso-position-vertical:absolute;width:494.95pt;height:140.95pt;mso-wrap-distance-left:9.00pt;mso-wrap-distance-top:0.00pt;mso-wrap-distance-right:9.00pt;mso-wrap-distance-bottom:0.00pt;" coordorigin="0,0" coordsize="62858,17900">
                <v:shape id="shape 2" o:spid="_x0000_s2" o:spt="202" type="#_x0000_t202" style="position:absolute;left:0;top:0;width:62858;height:17900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П</w:t>
                        </w:r>
                        <w:r>
                          <w:rPr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Cs w:val="28"/>
                          </w:rPr>
                        </w:r>
                        <w:r>
                          <w:rPr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3431;top:14647;width:15360;height:3252;v-text-anchor:top;visibility:visible;" filled="f" stroked="f">
                  <v:textbox inset="0,0,0,0">
                    <w:txbxContent>
                      <w:p>
                        <w:pPr>
                          <w:rPr>
                            <w:szCs w:val="28"/>
                            <w:u w:val="single"/>
                          </w:rPr>
                        </w:pPr>
                        <w:r>
                          <w:rPr>
                            <w:szCs w:val="28"/>
                            <w:u w:val="single"/>
                          </w:rPr>
                        </w:r>
                        <w:r>
                          <w:rPr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14647;width:10858;height:3252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Cs w:val="28"/>
                            <w:u w:val="single"/>
                          </w:rPr>
                        </w:pPr>
                        <w:r>
                          <w:rPr>
                            <w:szCs w:val="28"/>
                            <w:u w:val="single"/>
                          </w:rPr>
                          <w:t xml:space="preserve">№ 464</w:t>
                        </w:r>
                        <w:r>
                          <w:rPr>
                            <w:szCs w:val="28"/>
                            <w:u w:val="single"/>
                          </w:rPr>
                        </w:r>
                        <w:r>
                          <w:rPr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101"/>
        <w:spacing w:after="0" w:line="240" w:lineRule="exact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5101"/>
        <w:spacing w:after="0" w:line="240" w:lineRule="exact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5101"/>
        <w:spacing w:after="0" w:line="240" w:lineRule="auto"/>
      </w:pPr>
      <w:r/>
      <w:r/>
    </w:p>
    <w:p>
      <w:pPr>
        <w:ind w:right="5101"/>
        <w:spacing w:after="0" w:line="240" w:lineRule="auto"/>
      </w:pPr>
      <w:r/>
      <w:r/>
    </w:p>
    <w:p>
      <w:pPr>
        <w:ind w:right="5101"/>
        <w:spacing w:after="0" w:line="240" w:lineRule="auto"/>
      </w:pPr>
      <w:r/>
      <w:r/>
    </w:p>
    <w:p>
      <w:pPr>
        <w:ind w:right="5101"/>
        <w:spacing w:after="0" w:line="240" w:lineRule="auto"/>
      </w:pPr>
      <w:r/>
      <w:r/>
    </w:p>
    <w:p>
      <w:pPr>
        <w:pStyle w:val="891"/>
        <w:jc w:val="center"/>
        <w:spacing w:line="238" w:lineRule="exact"/>
      </w:pPr>
      <w:r>
        <w:rPr>
          <w:bCs/>
          <w:szCs w:val="28"/>
        </w:rPr>
        <w:t xml:space="preserve">О внесении изменений </w:t>
      </w:r>
      <w:r>
        <w:rPr>
          <w:bCs/>
          <w:szCs w:val="28"/>
        </w:rPr>
        <w:t xml:space="preserve">в постановление </w:t>
      </w:r>
      <w:r>
        <w:rPr>
          <w:bCs/>
          <w:szCs w:val="28"/>
        </w:rPr>
        <w:t xml:space="preserve">администрации </w:t>
      </w:r>
      <w:r>
        <w:rPr>
          <w:bCs/>
          <w:szCs w:val="28"/>
        </w:rPr>
        <w:t xml:space="preserve">города Перми </w:t>
        <w:br/>
        <w:t xml:space="preserve">от 27.09.2017 </w:t>
      </w:r>
      <w:r>
        <w:rPr>
          <w:bCs/>
          <w:szCs w:val="28"/>
        </w:rPr>
        <w:t xml:space="preserve">№ 765 </w:t>
      </w:r>
      <w:r>
        <w:rPr>
          <w:bCs/>
          <w:szCs w:val="28"/>
        </w:rPr>
        <w:t xml:space="preserve">«Об установлении </w:t>
      </w:r>
      <w:r>
        <w:rPr>
          <w:bCs/>
          <w:szCs w:val="28"/>
        </w:rPr>
        <w:t xml:space="preserve">расходного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обязательства Пермского городского </w:t>
      </w:r>
      <w:r>
        <w:rPr>
          <w:bCs/>
          <w:szCs w:val="28"/>
        </w:rPr>
        <w:t xml:space="preserve">округа </w:t>
      </w:r>
      <w:r>
        <w:rPr>
          <w:bCs/>
          <w:szCs w:val="28"/>
        </w:rPr>
        <w:t xml:space="preserve">по вопросам </w:t>
      </w:r>
      <w:r>
        <w:rPr>
          <w:bCs/>
          <w:szCs w:val="28"/>
        </w:rPr>
        <w:t xml:space="preserve">местного значения </w:t>
      </w:r>
      <w:r>
        <w:rPr>
          <w:bCs/>
          <w:szCs w:val="28"/>
        </w:rPr>
        <w:t xml:space="preserve">в сфере </w:t>
        <w:br/>
      </w:r>
      <w:r>
        <w:rPr>
          <w:bCs/>
          <w:szCs w:val="28"/>
        </w:rPr>
        <w:t xml:space="preserve">жилищно-коммунального </w:t>
      </w:r>
      <w:r>
        <w:rPr>
          <w:bCs/>
          <w:szCs w:val="28"/>
        </w:rPr>
        <w:t xml:space="preserve">хозяйства» </w:t>
      </w:r>
      <w:r/>
    </w:p>
    <w:p>
      <w:pPr>
        <w:ind w:right="5101"/>
        <w:spacing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right="5101"/>
        <w:spacing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right="5101"/>
        <w:spacing w:after="0" w:line="240" w:lineRule="auto"/>
      </w:pPr>
      <w:r/>
      <w:r/>
    </w:p>
    <w:p>
      <w:pPr>
        <w:pStyle w:val="89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86 Бюджетного кодекса Российской Федерации, статьей 16 Федерального закона от 06 октября 2003 г. № 131-ФЗ «Об общих принципах организации местного самоуправления в Ро</w:t>
      </w:r>
      <w:r>
        <w:rPr>
          <w:szCs w:val="28"/>
        </w:rPr>
        <w:t xml:space="preserve">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Уставом города Перми, статьей 20 Положения о бюджете и бюджетном процессе в городе</w:t>
      </w:r>
      <w:r>
        <w:rPr>
          <w:szCs w:val="28"/>
        </w:rPr>
        <w:t xml:space="preserve"> Перми, утвер</w:t>
      </w:r>
      <w:r>
        <w:rPr>
          <w:szCs w:val="28"/>
        </w:rPr>
        <w:t xml:space="preserve">жденного решением Пермской городской Думы </w:t>
      </w:r>
      <w:r>
        <w:rPr>
          <w:szCs w:val="28"/>
        </w:rPr>
        <w:t xml:space="preserve">от 28 августа 2007 г. № 185, в целях проведения мероприятий, направленных </w:t>
      </w:r>
      <w:r>
        <w:rPr>
          <w:szCs w:val="28"/>
        </w:rPr>
        <w:t xml:space="preserve">на реализацию полномочий </w:t>
        <w:br/>
        <w:t xml:space="preserve">в сфере жилищно-коммунального хозяйства в пределах вопросов местного значения Пермского городского округа, </w:t>
      </w:r>
      <w:r>
        <w:rPr>
          <w:szCs w:val="28"/>
        </w:rPr>
      </w:r>
      <w:r>
        <w:rPr>
          <w:szCs w:val="28"/>
        </w:rPr>
      </w:r>
    </w:p>
    <w:p>
      <w:pPr>
        <w:pStyle w:val="890"/>
        <w:jc w:val="both"/>
        <w:rPr>
          <w:szCs w:val="28"/>
        </w:rPr>
      </w:pPr>
      <w:r>
        <w:rPr>
          <w:szCs w:val="28"/>
        </w:rPr>
        <w:t xml:space="preserve">администрация г</w:t>
      </w:r>
      <w:r>
        <w:rPr>
          <w:szCs w:val="28"/>
        </w:rPr>
        <w:t xml:space="preserve">орода Перми </w:t>
      </w:r>
      <w:r>
        <w:t xml:space="preserve">ПОСТАНОВЛЯЕТ</w:t>
      </w:r>
      <w:r>
        <w:rPr>
          <w:szCs w:val="28"/>
        </w:rPr>
        <w:t xml:space="preserve">: </w:t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</w:rPr>
        <w:t xml:space="preserve">Внести в постановление администрации города Перми от 27 сентября 2017 г. № 765 «Об установлении расходного обязательства Пермского городского округа по вопросам местного значения в сфере жилищно-коммунального хозяйства» (в ред</w:t>
      </w:r>
      <w:r>
        <w:rPr>
          <w:szCs w:val="28"/>
        </w:rPr>
        <w:t xml:space="preserve">. от 07.06.2018 № 366, от 24.10.2018 № 821, от 13.03.2019 № 157, </w:t>
        <w:br/>
        <w:t xml:space="preserve">от 28.06.2019 № 333, от 15.08.2019 № 479, от 23.06.2022 № 510, от 01.03.2023 </w:t>
      </w:r>
      <w:r>
        <w:rPr>
          <w:szCs w:val="28"/>
        </w:rPr>
        <w:br/>
        <w:t xml:space="preserve">№ 156, от 17.08.2023 № 717, от 31.08.2023 № 784, от 30.10.2023 № 1194, </w:t>
      </w:r>
      <w:r>
        <w:rPr>
          <w:szCs w:val="28"/>
        </w:rPr>
        <w:br/>
        <w:t xml:space="preserve">от</w:t>
      </w:r>
      <w:r>
        <w:rPr>
          <w:szCs w:val="28"/>
        </w:rPr>
        <w:t xml:space="preserve"> </w:t>
      </w:r>
      <w:r>
        <w:rPr>
          <w:szCs w:val="28"/>
        </w:rPr>
        <w:t xml:space="preserve">06.02.2025 № 47, от 30.10.2025 № 896, от 01.04.2026 № 197) </w:t>
      </w:r>
      <w:r>
        <w:rPr>
          <w:szCs w:val="28"/>
        </w:rPr>
        <w:t xml:space="preserve">следующие изменения: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>
        <w:rPr>
          <w:szCs w:val="28"/>
        </w:rPr>
        <w:t xml:space="preserve">1.1. дополнить пунктами 2.8, 2.9 следующего содержания: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>
        <w:rPr>
          <w:szCs w:val="28"/>
        </w:rPr>
        <w:t xml:space="preserve">«2.8. при проведении комплекса мероприятий по </w:t>
      </w:r>
      <w:r>
        <w:rPr>
          <w:szCs w:val="28"/>
        </w:rPr>
        <w:t xml:space="preserve">гражданской обороне: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>
        <w:rPr>
          <w:szCs w:val="28"/>
        </w:rPr>
        <w:t xml:space="preserve">создание и содержание запасов материально-технических сре</w:t>
      </w:r>
      <w:r>
        <w:rPr>
          <w:szCs w:val="28"/>
        </w:rPr>
        <w:t xml:space="preserve">дств в ц</w:t>
      </w:r>
      <w:r>
        <w:rPr>
          <w:szCs w:val="28"/>
        </w:rPr>
        <w:t xml:space="preserve">елях гражданской обороны для обеспечения рабо</w:t>
      </w:r>
      <w:r>
        <w:rPr>
          <w:szCs w:val="28"/>
        </w:rPr>
        <w:t xml:space="preserve">ты объектов инженерной инфраструктуры;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>
        <w:rPr>
          <w:szCs w:val="28"/>
        </w:rPr>
        <w:t xml:space="preserve">2.9. </w:t>
      </w:r>
      <w:r>
        <w:rPr>
          <w:szCs w:val="28"/>
        </w:rPr>
        <w:t xml:space="preserve">при проведении комплекса мероприятий по </w:t>
      </w:r>
      <w:r>
        <w:rPr>
          <w:szCs w:val="28"/>
        </w:rPr>
        <w:t xml:space="preserve">защите населения и территории города Перми от чрезвычайных ситуаций природного и техногенного характера: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>
        <w:rPr>
          <w:szCs w:val="28"/>
        </w:rPr>
        <w:t xml:space="preserve">создание и содержание резерва материально-технических средств в цел</w:t>
      </w:r>
      <w:r>
        <w:rPr>
          <w:szCs w:val="28"/>
        </w:rPr>
        <w:t xml:space="preserve">ях ликвидации последствий чрезвычайных ситуаций природного и техногенного характера на объектах инженерной инфраструктуры</w:t>
      </w:r>
      <w:r>
        <w:rPr>
          <w:szCs w:val="28"/>
        </w:rPr>
        <w:t xml:space="preserve">.»</w:t>
      </w:r>
      <w:r>
        <w:rPr>
          <w:szCs w:val="28"/>
        </w:rPr>
        <w:t xml:space="preserve">; 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szCs w:val="28"/>
        </w:rPr>
      </w:pPr>
      <w:r/>
      <w:bookmarkStart w:id="0" w:name="_GoBack"/>
      <w:r/>
      <w:bookmarkEnd w:id="0"/>
      <w:r>
        <w:rPr>
          <w:szCs w:val="28"/>
        </w:rPr>
        <w:t xml:space="preserve">1.2. приложение дополнить строками 8, 9 следующего содержания:</w:t>
      </w:r>
      <w:r>
        <w:rPr>
          <w:szCs w:val="28"/>
        </w:rPr>
      </w:r>
      <w:r>
        <w:rPr>
          <w:szCs w:val="28"/>
        </w:rPr>
      </w:r>
    </w:p>
    <w:tbl>
      <w:tblPr>
        <w:tblW w:w="100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33"/>
        <w:gridCol w:w="5669"/>
        <w:gridCol w:w="386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8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Проведение комплекса мероприятий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spacing w:after="0" w:line="240" w:lineRule="auto"/>
              <w:rPr>
                <w:rFonts w:cs="Times New Roman"/>
              </w:rPr>
            </w:pPr>
            <w:r>
              <w:rPr>
                <w:szCs w:val="28"/>
              </w:rPr>
              <w:t xml:space="preserve">по гражданской обороне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создание и содержание запасов материально-технических сре</w:t>
            </w:r>
            <w:r>
              <w:rPr>
                <w:szCs w:val="28"/>
              </w:rPr>
              <w:t xml:space="preserve">дств в ц</w:t>
            </w:r>
            <w:r>
              <w:rPr>
                <w:szCs w:val="28"/>
              </w:rPr>
              <w:t xml:space="preserve">елях гражданской обороны для обеспечения работы объектов инженерной инфраструктуры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расчетный объем бюджетных ассигнований определяется иным методом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szCs w:val="28"/>
              </w:rPr>
              <w:t xml:space="preserve">Проведение комплекса мероприятий </w:t>
            </w:r>
            <w:r>
              <w:rPr>
                <w:rFonts w:cs="Times New Roman"/>
                <w:szCs w:val="28"/>
              </w:rPr>
            </w:r>
            <w:r/>
          </w:p>
          <w:p>
            <w:pPr>
              <w:spacing w:after="0" w:line="240" w:lineRule="auto"/>
              <w:rPr>
                <w:rFonts w:cs="Times New Roman"/>
              </w:rPr>
            </w:pPr>
            <w:r>
              <w:rPr>
                <w:szCs w:val="28"/>
              </w:rPr>
              <w:t xml:space="preserve">по </w:t>
            </w:r>
            <w:r>
              <w:rPr>
                <w:szCs w:val="28"/>
              </w:rPr>
              <w:t xml:space="preserve">защите населения и территории города Перми от чрезвычайных ситуаций природного и техногенного характера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создание и содержание резерва материально-технических сре</w:t>
            </w:r>
            <w:r>
              <w:rPr>
                <w:szCs w:val="28"/>
              </w:rPr>
              <w:t xml:space="preserve">дств в ц</w:t>
            </w:r>
            <w:r>
              <w:rPr>
                <w:szCs w:val="28"/>
              </w:rPr>
              <w:t xml:space="preserve">елях ликвидации последствий чрезвычайных ситуаций природного и техногенного характер</w:t>
            </w:r>
            <w:r>
              <w:rPr>
                <w:szCs w:val="28"/>
              </w:rPr>
              <w:t xml:space="preserve">а на объектах инженерной инфраструктуры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расчетный объем бюджетных ассигнований определяется иным методом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</w:tr>
    </w:tbl>
    <w:p>
      <w:pPr>
        <w:pStyle w:val="890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20"/>
        <w:jc w:val="both"/>
        <w:rPr>
          <w:szCs w:val="28"/>
        </w:rPr>
        <w:suppressLineNumbers w:val="0"/>
      </w:pPr>
      <w:r>
        <w:rPr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</w:t>
      </w:r>
      <w:r>
        <w:rPr>
          <w:szCs w:val="28"/>
        </w:rPr>
        <w:t xml:space="preserve">стного самоуправления муниципального образования город Пермь». </w:t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20"/>
        <w:jc w:val="both"/>
        <w:rPr>
          <w:szCs w:val="28"/>
        </w:rPr>
        <w:suppressLineNumbers w:val="0"/>
      </w:pPr>
      <w:r>
        <w:rPr>
          <w:szCs w:val="28"/>
        </w:rPr>
        <w:t xml:space="preserve">3. </w:t>
      </w:r>
      <w:r>
        <w:rPr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</w:t>
      </w:r>
      <w:r>
        <w:rPr>
          <w:szCs w:val="28"/>
        </w:rPr>
        <w:t xml:space="preserve">циальный бюллетень органов местного самоуправления муниципального образования город Пермь». </w:t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20"/>
        <w:jc w:val="both"/>
        <w:rPr>
          <w:szCs w:val="28"/>
        </w:rPr>
        <w:suppressLineNumbers w:val="0"/>
      </w:pPr>
      <w:r>
        <w:rPr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</w:t>
      </w:r>
      <w:r>
        <w:rPr>
          <w:szCs w:val="28"/>
        </w:rPr>
        <w:t xml:space="preserve">тевом издании «Официальный сайт муниципального образования город Пермь </w:t>
      </w:r>
      <w:hyperlink r:id="rId12" w:tooltip="www.gorodperm.ru" w:history="1">
        <w:r>
          <w:rPr>
            <w:szCs w:val="28"/>
          </w:rPr>
          <w:t xml:space="preserve">www.gorodperm.ru</w:t>
        </w:r>
      </w:hyperlink>
      <w:r>
        <w:rPr>
          <w:szCs w:val="28"/>
        </w:rPr>
        <w:t xml:space="preserve">». </w:t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20"/>
        <w:jc w:val="both"/>
        <w:rPr>
          <w:szCs w:val="28"/>
        </w:rPr>
        <w:suppressLineNumbers w:val="0"/>
      </w:pPr>
      <w:r>
        <w:rPr>
          <w:szCs w:val="28"/>
        </w:rPr>
        <w:t xml:space="preserve">5. Ко</w:t>
      </w:r>
      <w:r>
        <w:rPr>
          <w:szCs w:val="28"/>
        </w:rPr>
        <w:t xml:space="preserve">нтроль за исполнением настоящего постановления возложить </w:t>
      </w:r>
      <w:r>
        <w:rPr>
          <w:szCs w:val="28"/>
        </w:rPr>
        <w:br/>
        <w:t xml:space="preserve">на заместителя </w:t>
      </w:r>
      <w:r>
        <w:rPr>
          <w:szCs w:val="28"/>
        </w:rPr>
        <w:t xml:space="preserve">главы администрации города Перми</w:t>
      </w:r>
      <w:r>
        <w:rPr>
          <w:szCs w:val="28"/>
        </w:rPr>
        <w:t xml:space="preserve"> Балахнина</w:t>
      </w:r>
      <w:r>
        <w:rPr>
          <w:szCs w:val="28"/>
        </w:rPr>
        <w:t xml:space="preserve"> А.А. </w:t>
      </w:r>
      <w:r>
        <w:rPr>
          <w:szCs w:val="28"/>
        </w:rPr>
      </w:r>
      <w:r>
        <w:rPr>
          <w:szCs w:val="28"/>
        </w:rPr>
      </w:r>
    </w:p>
    <w:p>
      <w:pPr>
        <w:pStyle w:val="890"/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230" w:leader="none"/>
        </w:tabs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</w:r>
      <w:r>
        <w:rPr>
          <w:rFonts w:cs="Times New Roman"/>
          <w:bCs/>
          <w:szCs w:val="28"/>
        </w:rPr>
      </w:r>
      <w:r>
        <w:rPr>
          <w:rFonts w:cs="Times New Roman"/>
          <w:bCs/>
          <w:szCs w:val="28"/>
        </w:rPr>
      </w:r>
    </w:p>
    <w:p>
      <w:pPr>
        <w:ind w:firstLine="709"/>
        <w:jc w:val="both"/>
        <w:spacing w:line="240" w:lineRule="auto"/>
        <w:tabs>
          <w:tab w:val="left" w:pos="8080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Cs w:val="28"/>
        </w:rPr>
      </w:pPr>
      <w:r>
        <w:rPr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Cs w:val="28"/>
        </w:rPr>
      </w:r>
      <w:r>
        <w:rPr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993" w:right="567" w:bottom="1247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39521972"/>
      <w:docPartObj>
        <w:docPartGallery w:val="Page Numbers (Top of Page)"/>
        <w:docPartUnique w:val="true"/>
      </w:docPartObj>
      <w:rPr/>
    </w:sdtPr>
    <w:sdtContent>
      <w:p>
        <w:pPr>
          <w:pStyle w:val="89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 w:default="1">
    <w:name w:val="Normal"/>
    <w:qFormat/>
  </w:style>
  <w:style w:type="paragraph" w:styleId="684">
    <w:name w:val="Heading 1"/>
    <w:basedOn w:val="683"/>
    <w:next w:val="683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73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90">
    <w:name w:val="Heading 7"/>
    <w:basedOn w:val="683"/>
    <w:next w:val="68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91">
    <w:name w:val="Heading 8"/>
    <w:basedOn w:val="683"/>
    <w:next w:val="683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92">
    <w:name w:val="Heading 9"/>
    <w:basedOn w:val="683"/>
    <w:next w:val="683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Caption Char"/>
    <w:uiPriority w:val="99"/>
  </w:style>
  <w:style w:type="character" w:styleId="697" w:customStyle="1">
    <w:name w:val="Heading 1 Char"/>
    <w:basedOn w:val="693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Heading 2 Char"/>
    <w:basedOn w:val="693"/>
    <w:uiPriority w:val="9"/>
    <w:rPr>
      <w:rFonts w:ascii="Arial" w:hAnsi="Arial" w:eastAsia="Arial" w:cs="Arial"/>
      <w:sz w:val="34"/>
    </w:rPr>
  </w:style>
  <w:style w:type="character" w:styleId="699" w:customStyle="1">
    <w:name w:val="Heading 3 Char"/>
    <w:basedOn w:val="693"/>
    <w:uiPriority w:val="9"/>
    <w:rPr>
      <w:rFonts w:ascii="Arial" w:hAnsi="Arial" w:eastAsia="Arial" w:cs="Arial"/>
      <w:sz w:val="30"/>
      <w:szCs w:val="30"/>
    </w:rPr>
  </w:style>
  <w:style w:type="character" w:styleId="700" w:customStyle="1">
    <w:name w:val="Heading 4 Char"/>
    <w:basedOn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Heading 5 Char"/>
    <w:basedOn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Heading 6 Char"/>
    <w:basedOn w:val="693"/>
    <w:uiPriority w:val="9"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Heading 7 Char"/>
    <w:basedOn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Heading 8 Char"/>
    <w:basedOn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9 Char"/>
    <w:basedOn w:val="693"/>
    <w:uiPriority w:val="9"/>
    <w:rPr>
      <w:rFonts w:ascii="Arial" w:hAnsi="Arial" w:eastAsia="Arial" w:cs="Arial"/>
      <w:i/>
      <w:iCs/>
      <w:sz w:val="21"/>
      <w:szCs w:val="21"/>
    </w:rPr>
  </w:style>
  <w:style w:type="character" w:styleId="706" w:customStyle="1">
    <w:name w:val="Title Char"/>
    <w:basedOn w:val="693"/>
    <w:uiPriority w:val="10"/>
    <w:rPr>
      <w:sz w:val="48"/>
      <w:szCs w:val="48"/>
    </w:rPr>
  </w:style>
  <w:style w:type="character" w:styleId="707" w:customStyle="1">
    <w:name w:val="Subtitle Char"/>
    <w:basedOn w:val="693"/>
    <w:uiPriority w:val="11"/>
    <w:rPr>
      <w:sz w:val="24"/>
      <w:szCs w:val="24"/>
    </w:rPr>
  </w:style>
  <w:style w:type="character" w:styleId="708" w:customStyle="1">
    <w:name w:val="Quote Char"/>
    <w:uiPriority w:val="29"/>
    <w:rPr>
      <w:i/>
    </w:rPr>
  </w:style>
  <w:style w:type="character" w:styleId="709" w:customStyle="1">
    <w:name w:val="Intense Quote Char"/>
    <w:uiPriority w:val="30"/>
    <w:rPr>
      <w:i/>
    </w:rPr>
  </w:style>
  <w:style w:type="table" w:styleId="710" w:customStyle="1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 w:customStyle="1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 w:customStyle="1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1" w:customStyle="1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24" w:customStyle="1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27" w:customStyle="1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28" w:customStyle="1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29" w:customStyle="1">
    <w:name w:val="Заголовок 1 Знак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Заголовок 2 Знак"/>
    <w:basedOn w:val="693"/>
    <w:link w:val="685"/>
    <w:uiPriority w:val="9"/>
    <w:rPr>
      <w:rFonts w:ascii="Arial" w:hAnsi="Arial" w:eastAsia="Arial" w:cs="Arial"/>
      <w:sz w:val="34"/>
    </w:rPr>
  </w:style>
  <w:style w:type="character" w:styleId="731" w:customStyle="1">
    <w:name w:val="Заголовок 3 Знак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Заголовок 4 Знак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No Spacing"/>
    <w:uiPriority w:val="1"/>
    <w:qFormat/>
    <w:pPr>
      <w:spacing w:after="0" w:line="240" w:lineRule="auto"/>
    </w:pPr>
  </w:style>
  <w:style w:type="paragraph" w:styleId="739">
    <w:name w:val="Title"/>
    <w:basedOn w:val="683"/>
    <w:next w:val="68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 w:customStyle="1">
    <w:name w:val="Название Знак"/>
    <w:basedOn w:val="693"/>
    <w:link w:val="739"/>
    <w:uiPriority w:val="10"/>
    <w:rPr>
      <w:sz w:val="48"/>
      <w:szCs w:val="48"/>
    </w:rPr>
  </w:style>
  <w:style w:type="paragraph" w:styleId="741">
    <w:name w:val="Subtitle"/>
    <w:basedOn w:val="683"/>
    <w:next w:val="683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 w:customStyle="1">
    <w:name w:val="Подзаголовок Знак"/>
    <w:basedOn w:val="693"/>
    <w:link w:val="741"/>
    <w:uiPriority w:val="11"/>
    <w:rPr>
      <w:sz w:val="24"/>
      <w:szCs w:val="24"/>
    </w:rPr>
  </w:style>
  <w:style w:type="paragraph" w:styleId="743">
    <w:name w:val="Quote"/>
    <w:basedOn w:val="683"/>
    <w:next w:val="683"/>
    <w:link w:val="744"/>
    <w:uiPriority w:val="29"/>
    <w:qFormat/>
    <w:pPr>
      <w:ind w:left="720" w:right="720"/>
    </w:pPr>
    <w:rPr>
      <w:i/>
    </w:rPr>
  </w:style>
  <w:style w:type="character" w:styleId="744" w:customStyle="1">
    <w:name w:val="Цитата 2 Знак"/>
    <w:link w:val="743"/>
    <w:uiPriority w:val="29"/>
    <w:rPr>
      <w:i/>
    </w:rPr>
  </w:style>
  <w:style w:type="paragraph" w:styleId="745">
    <w:name w:val="Intense Quote"/>
    <w:basedOn w:val="683"/>
    <w:next w:val="683"/>
    <w:link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 w:customStyle="1">
    <w:name w:val="Выделенная цитата Знак"/>
    <w:link w:val="745"/>
    <w:uiPriority w:val="30"/>
    <w:rPr>
      <w:i/>
    </w:rPr>
  </w:style>
  <w:style w:type="character" w:styleId="747" w:customStyle="1">
    <w:name w:val="Header Char"/>
    <w:basedOn w:val="693"/>
    <w:uiPriority w:val="99"/>
  </w:style>
  <w:style w:type="character" w:styleId="748" w:customStyle="1">
    <w:name w:val="Footer Char"/>
    <w:basedOn w:val="693"/>
    <w:uiPriority w:val="99"/>
  </w:style>
  <w:style w:type="character" w:styleId="749" w:customStyle="1">
    <w:name w:val="Название объекта Знак"/>
    <w:link w:val="902"/>
    <w:uiPriority w:val="99"/>
  </w:style>
  <w:style w:type="table" w:styleId="750">
    <w:name w:val="Table Grid"/>
    <w:basedOn w:val="6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 w:customStyle="1">
    <w:name w:val="Table Grid Light"/>
    <w:basedOn w:val="6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Таблица простая 11"/>
    <w:basedOn w:val="6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2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Таблица простая 3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Таблица простая 4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Таблица простая 5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1 светл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Таблица-сетка 2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Таблица-сетка 3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Таблица-сетка 4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0" w:customStyle="1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1" w:customStyle="1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2" w:customStyle="1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3" w:customStyle="1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4" w:customStyle="1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5" w:customStyle="1">
    <w:name w:val="Таблица-сетка 5 тем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Таблица-сетка 6 цвет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4" w:customStyle="1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5" w:customStyle="1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6" w:customStyle="1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7" w:customStyle="1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9" w:customStyle="1">
    <w:name w:val="Таблица-сетка 7 цвет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Список-таблица 1 светл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Список-таблица 2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Список-таблица 3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Список-таблица 4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Список-таблица 5 тем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Список-таблица 6 цвет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3" w:customStyle="1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4" w:customStyle="1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5" w:customStyle="1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6" w:customStyle="1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7" w:customStyle="1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8" w:customStyle="1">
    <w:name w:val="Список-таблица 7 цветная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7" w:customStyle="1">
    <w:name w:val="Lined - Accent 2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8" w:customStyle="1">
    <w:name w:val="Lined - Accent 3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9" w:customStyle="1">
    <w:name w:val="Lined - Accent 4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0" w:customStyle="1">
    <w:name w:val="Lined - Accent 5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1" w:customStyle="1">
    <w:name w:val="Lined - Accent 6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2" w:customStyle="1">
    <w:name w:val="Bordered &amp; Lined - Accent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4" w:customStyle="1">
    <w:name w:val="Bordered &amp; Lined - Accent 2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5" w:customStyle="1">
    <w:name w:val="Bordered &amp; Lined - Accent 3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6" w:customStyle="1">
    <w:name w:val="Bordered &amp; Lined - Accent 4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7" w:customStyle="1">
    <w:name w:val="Bordered &amp; Lined - Accent 5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8" w:customStyle="1">
    <w:name w:val="Bordered &amp; Lined - Accent 6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9" w:customStyle="1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1" w:customStyle="1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2" w:customStyle="1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3" w:customStyle="1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4" w:customStyle="1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5" w:customStyle="1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6">
    <w:name w:val="Hyperlink"/>
    <w:uiPriority w:val="99"/>
    <w:unhideWhenUsed/>
    <w:rPr>
      <w:color w:val="0563c1" w:themeColor="hyperlink"/>
      <w:u w:val="single"/>
    </w:rPr>
  </w:style>
  <w:style w:type="character" w:styleId="877" w:customStyle="1">
    <w:name w:val="Footnote Text Char"/>
    <w:uiPriority w:val="99"/>
    <w:rPr>
      <w:sz w:val="18"/>
    </w:rPr>
  </w:style>
  <w:style w:type="character" w:styleId="878" w:customStyle="1">
    <w:name w:val="Endnote Text Char"/>
    <w:uiPriority w:val="99"/>
    <w:rPr>
      <w:sz w:val="20"/>
    </w:rPr>
  </w:style>
  <w:style w:type="paragraph" w:styleId="879">
    <w:name w:val="toc 1"/>
    <w:basedOn w:val="683"/>
    <w:next w:val="683"/>
    <w:uiPriority w:val="39"/>
    <w:unhideWhenUsed/>
    <w:pPr>
      <w:spacing w:after="57"/>
    </w:pPr>
  </w:style>
  <w:style w:type="paragraph" w:styleId="880">
    <w:name w:val="toc 2"/>
    <w:basedOn w:val="683"/>
    <w:next w:val="683"/>
    <w:uiPriority w:val="39"/>
    <w:unhideWhenUsed/>
    <w:pPr>
      <w:ind w:left="283"/>
      <w:spacing w:after="57"/>
    </w:pPr>
  </w:style>
  <w:style w:type="paragraph" w:styleId="881">
    <w:name w:val="toc 3"/>
    <w:basedOn w:val="683"/>
    <w:next w:val="683"/>
    <w:uiPriority w:val="39"/>
    <w:unhideWhenUsed/>
    <w:pPr>
      <w:ind w:left="567"/>
      <w:spacing w:after="57"/>
    </w:pPr>
  </w:style>
  <w:style w:type="paragraph" w:styleId="882">
    <w:name w:val="toc 4"/>
    <w:basedOn w:val="683"/>
    <w:next w:val="683"/>
    <w:uiPriority w:val="39"/>
    <w:unhideWhenUsed/>
    <w:pPr>
      <w:ind w:left="850"/>
      <w:spacing w:after="57"/>
    </w:pPr>
  </w:style>
  <w:style w:type="paragraph" w:styleId="883">
    <w:name w:val="toc 5"/>
    <w:basedOn w:val="683"/>
    <w:next w:val="683"/>
    <w:uiPriority w:val="39"/>
    <w:unhideWhenUsed/>
    <w:pPr>
      <w:ind w:left="1134"/>
      <w:spacing w:after="57"/>
    </w:pPr>
  </w:style>
  <w:style w:type="paragraph" w:styleId="884">
    <w:name w:val="toc 6"/>
    <w:basedOn w:val="683"/>
    <w:next w:val="683"/>
    <w:uiPriority w:val="39"/>
    <w:unhideWhenUsed/>
    <w:pPr>
      <w:ind w:left="1417"/>
      <w:spacing w:after="57"/>
    </w:pPr>
  </w:style>
  <w:style w:type="paragraph" w:styleId="885">
    <w:name w:val="toc 7"/>
    <w:basedOn w:val="683"/>
    <w:next w:val="683"/>
    <w:uiPriority w:val="39"/>
    <w:unhideWhenUsed/>
    <w:pPr>
      <w:ind w:left="1701"/>
      <w:spacing w:after="57"/>
    </w:pPr>
  </w:style>
  <w:style w:type="paragraph" w:styleId="886">
    <w:name w:val="toc 8"/>
    <w:basedOn w:val="683"/>
    <w:next w:val="683"/>
    <w:uiPriority w:val="39"/>
    <w:unhideWhenUsed/>
    <w:pPr>
      <w:ind w:left="1984"/>
      <w:spacing w:after="57"/>
    </w:pPr>
  </w:style>
  <w:style w:type="paragraph" w:styleId="887">
    <w:name w:val="toc 9"/>
    <w:basedOn w:val="683"/>
    <w:next w:val="683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683"/>
    <w:next w:val="683"/>
    <w:uiPriority w:val="99"/>
    <w:unhideWhenUsed/>
    <w:pPr>
      <w:spacing w:after="0"/>
    </w:pPr>
  </w:style>
  <w:style w:type="paragraph" w:styleId="890" w:customStyle="1">
    <w:name w:val="ConsPlusNormal"/>
    <w:pPr>
      <w:spacing w:after="0" w:line="240" w:lineRule="auto"/>
      <w:widowControl w:val="off"/>
    </w:pPr>
    <w:rPr>
      <w:rFonts w:eastAsia="Times New Roman" w:cs="Times New Roman"/>
      <w:szCs w:val="20"/>
      <w:lang w:eastAsia="ru-RU"/>
    </w:rPr>
  </w:style>
  <w:style w:type="paragraph" w:styleId="891" w:customStyle="1">
    <w:name w:val="ConsPlusTitle"/>
    <w:pPr>
      <w:spacing w:after="0" w:line="240" w:lineRule="auto"/>
      <w:widowControl w:val="off"/>
    </w:pPr>
    <w:rPr>
      <w:rFonts w:eastAsia="Times New Roman" w:cs="Times New Roman"/>
      <w:b/>
      <w:szCs w:val="20"/>
      <w:lang w:eastAsia="ru-RU"/>
    </w:rPr>
  </w:style>
  <w:style w:type="paragraph" w:styleId="892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93">
    <w:name w:val="Balloon Text"/>
    <w:basedOn w:val="683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Текст выноски Знак"/>
    <w:basedOn w:val="693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3"/>
    <w:link w:val="8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6" w:customStyle="1">
    <w:name w:val="Верхний колонтитул Знак"/>
    <w:basedOn w:val="693"/>
    <w:link w:val="895"/>
    <w:uiPriority w:val="99"/>
  </w:style>
  <w:style w:type="paragraph" w:styleId="897">
    <w:name w:val="Footer"/>
    <w:basedOn w:val="683"/>
    <w:link w:val="8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8" w:customStyle="1">
    <w:name w:val="Нижний колонтитул Знак"/>
    <w:basedOn w:val="693"/>
    <w:link w:val="897"/>
    <w:uiPriority w:val="99"/>
  </w:style>
  <w:style w:type="paragraph" w:styleId="899">
    <w:name w:val="footnote text"/>
    <w:basedOn w:val="683"/>
    <w:link w:val="90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0" w:customStyle="1">
    <w:name w:val="Текст сноски Знак"/>
    <w:basedOn w:val="693"/>
    <w:link w:val="899"/>
    <w:uiPriority w:val="99"/>
    <w:semiHidden/>
    <w:rPr>
      <w:sz w:val="20"/>
      <w:szCs w:val="20"/>
    </w:rPr>
  </w:style>
  <w:style w:type="character" w:styleId="901">
    <w:name w:val="footnote reference"/>
    <w:basedOn w:val="693"/>
    <w:uiPriority w:val="99"/>
    <w:semiHidden/>
    <w:unhideWhenUsed/>
    <w:rPr>
      <w:vertAlign w:val="superscript"/>
    </w:rPr>
  </w:style>
  <w:style w:type="paragraph" w:styleId="902">
    <w:name w:val="Caption"/>
    <w:basedOn w:val="683"/>
    <w:next w:val="683"/>
    <w:link w:val="749"/>
    <w:qFormat/>
    <w:pPr>
      <w:jc w:val="center"/>
      <w:spacing w:after="0" w:line="360" w:lineRule="exact"/>
      <w:widowControl w:val="off"/>
    </w:pPr>
    <w:rPr>
      <w:rFonts w:eastAsia="Times New Roman" w:cs="Times New Roman"/>
      <w:b/>
      <w:sz w:val="32"/>
      <w:szCs w:val="20"/>
      <w:lang w:eastAsia="ru-RU"/>
    </w:rPr>
  </w:style>
  <w:style w:type="paragraph" w:styleId="903">
    <w:name w:val="Body Text"/>
    <w:basedOn w:val="683"/>
    <w:link w:val="904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904" w:customStyle="1">
    <w:name w:val="Основной текст Знак"/>
    <w:basedOn w:val="693"/>
    <w:link w:val="903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905">
    <w:name w:val="List Paragraph"/>
    <w:basedOn w:val="683"/>
    <w:uiPriority w:val="34"/>
    <w:qFormat/>
    <w:pPr>
      <w:contextualSpacing/>
      <w:ind w:left="720"/>
    </w:pPr>
  </w:style>
  <w:style w:type="paragraph" w:styleId="906">
    <w:name w:val="endnote text"/>
    <w:basedOn w:val="683"/>
    <w:link w:val="90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7" w:customStyle="1">
    <w:name w:val="Текст концевой сноски Знак"/>
    <w:basedOn w:val="693"/>
    <w:link w:val="906"/>
    <w:uiPriority w:val="99"/>
    <w:semiHidden/>
    <w:rPr>
      <w:sz w:val="20"/>
      <w:szCs w:val="20"/>
    </w:rPr>
  </w:style>
  <w:style w:type="character" w:styleId="908">
    <w:name w:val="endnote reference"/>
    <w:basedOn w:val="693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104C-D4BC-4C50-B489-8B8A5FC6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Мартюшева Юлия Александровна</dc:creator>
  <cp:lastModifiedBy>shukhardina-ev</cp:lastModifiedBy>
  <cp:revision>43</cp:revision>
  <dcterms:created xsi:type="dcterms:W3CDTF">2025-03-13T07:38:00Z</dcterms:created>
  <dcterms:modified xsi:type="dcterms:W3CDTF">2026-08-05T09:55:53Z</dcterms:modified>
</cp:coreProperties>
</file>