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48906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489059"/>
                          <a:chOff x="0" y="0"/>
                          <a:chExt cx="6392079" cy="1489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02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1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НАЧАЛЬНИК ДЕПАРТАМЕНТА 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  <w:szCs w:val="28"/>
                                </w:rPr>
                                <w:t xml:space="preserve">ФИНАНСОВ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1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769109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17.25pt;mso-wrap-distance-left:0.00pt;mso-wrap-distance-top:0.00pt;mso-wrap-distance-right:0.00pt;mso-wrap-distance-bottom:0.00pt;rotation:0;" coordorigin="0,0" coordsize="63920,14890">
                <v:shape id="shape 1" o:spid="_x0000_s1" o:spt="202" type="#_x0000_t202" style="position:absolute;left:0;top:4865;width:63920;height:10025;v-text-anchor:top;visibility:visible;" fillcolor="#FFFFFF" stroked="f">
                  <v:textbox inset="0,0,0,0">
                    <w:txbxContent>
                      <w:p>
                        <w:pPr>
                          <w:pStyle w:val="901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НАЧАЛЬНИК ДЕПАРТАМЕНТА 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ФИНАНСОВ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1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3" o:title=""/>
                </v:shape>
              </v:group>
            </w:pict>
          </mc:Fallback>
        </mc:AlternateContent>
      </w:r>
      <w:r/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sz w:val="24"/>
        </w:rPr>
      </w:pPr>
      <w:r>
        <w:rPr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2816;o:allowoverlap:true;o:allowincell:true;mso-position-horizontal-relative:text;margin-left:358.6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2816;o:allowoverlap:true;o:allowincell:true;mso-position-horizontal-relative:text;margin-left:20.9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spacing w:line="238" w:lineRule="exact"/>
      </w:pPr>
      <w:r/>
      <w:r/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8" w:lineRule="exact"/>
      </w:pPr>
      <w:r/>
      <w:r/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</w:rPr>
        <w:t xml:space="preserve">О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внесении изменений в </w:t>
      </w:r>
      <w:r>
        <w:rPr>
          <w:b/>
          <w:bCs/>
          <w:sz w:val="28"/>
          <w:szCs w:val="28"/>
        </w:rPr>
        <w:t xml:space="preserve">Порядок открытия и ведения лицевых счетов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 департаментом финансов администрации города Перми,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утвержденный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распоряжение</w:t>
      </w:r>
      <w:r>
        <w:rPr>
          <w:b/>
          <w:bCs/>
          <w:sz w:val="28"/>
          <w:szCs w:val="28"/>
        </w:rPr>
        <w:t xml:space="preserve">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заместителя </w:t>
      </w:r>
      <w:r>
        <w:rPr>
          <w:b/>
          <w:bCs/>
          <w:sz w:val="28"/>
          <w:szCs w:val="28"/>
        </w:rPr>
        <w:t xml:space="preserve">главы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</w:t>
      </w:r>
      <w:r>
        <w:rPr>
          <w:b/>
          <w:bCs/>
          <w:sz w:val="28"/>
          <w:szCs w:val="28"/>
        </w:rPr>
        <w:t xml:space="preserve">рации города Перми-</w:t>
      </w:r>
      <w:r>
        <w:rPr>
          <w:b/>
          <w:bCs/>
          <w:sz w:val="28"/>
          <w:szCs w:val="28"/>
        </w:rPr>
        <w:t xml:space="preserve">начальник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департамента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финансов</w:t>
      </w:r>
      <w:r>
        <w:rPr>
          <w:b/>
          <w:bCs/>
          <w:sz w:val="28"/>
          <w:szCs w:val="28"/>
        </w:rPr>
        <w:t xml:space="preserve"> админис</w:t>
      </w:r>
      <w:r>
        <w:rPr>
          <w:b/>
          <w:bCs/>
          <w:sz w:val="28"/>
          <w:szCs w:val="28"/>
        </w:rPr>
        <w:t xml:space="preserve">трации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города </w:t>
      </w:r>
      <w:r>
        <w:rPr>
          <w:b/>
          <w:bCs/>
          <w:sz w:val="28"/>
          <w:szCs w:val="28"/>
        </w:rPr>
        <w:t xml:space="preserve">Пер</w:t>
      </w:r>
      <w:r>
        <w:rPr>
          <w:b/>
          <w:bCs/>
          <w:sz w:val="28"/>
          <w:szCs w:val="28"/>
        </w:rPr>
        <w:t xml:space="preserve">ми от 30.12.2020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059-06-01.01-03-р-</w:t>
      </w:r>
      <w:r>
        <w:rPr>
          <w:b/>
          <w:bCs/>
          <w:sz w:val="28"/>
          <w:szCs w:val="28"/>
        </w:rPr>
        <w:t xml:space="preserve">178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9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jc w:val="center"/>
        <w:spacing w:line="240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95"/>
        <w:contextualSpacing w:val="0"/>
        <w:ind w:firstLine="709"/>
        <w:jc w:val="both"/>
        <w:spacing w:line="240" w:lineRule="auto"/>
        <w:widowControl/>
        <w:rPr>
          <w:sz w:val="28"/>
          <w:szCs w:val="28"/>
          <w:highlight w:val="none"/>
        </w:rPr>
        <w:suppressLineNumbers w:val="0"/>
      </w:pPr>
      <w:r>
        <w:rPr>
          <w:sz w:val="28"/>
          <w:szCs w:val="24"/>
        </w:rPr>
      </w:r>
      <w:r>
        <w:rPr>
          <w:sz w:val="28"/>
          <w:szCs w:val="24"/>
        </w:rPr>
        <w:t xml:space="preserve">C целью актуализации </w:t>
      </w:r>
      <w:r>
        <w:rPr>
          <w:color w:val="auto"/>
          <w:sz w:val="28"/>
          <w:szCs w:val="24"/>
        </w:rPr>
        <w:t xml:space="preserve">правовой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базы департамента финансов администрации города Перми</w:t>
      </w:r>
      <w:r>
        <w:rPr>
          <w:sz w:val="28"/>
          <w:szCs w:val="24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5"/>
        <w:ind w:firstLine="709"/>
        <w:jc w:val="both"/>
        <w:spacing w:line="240" w:lineRule="auto"/>
        <w:rPr>
          <w:sz w:val="28"/>
          <w:szCs w:val="24"/>
        </w:rPr>
        <w:suppressLineNumbers w:val="0"/>
      </w:pPr>
      <w:r>
        <w:rPr>
          <w:sz w:val="28"/>
          <w:szCs w:val="24"/>
        </w:rPr>
        <w:t xml:space="preserve">1. Внести в Порядок открытия и ведения лицевых счетов департаментом 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4"/>
        </w:rPr>
        <w:t xml:space="preserve">финансов администрации города Перми, утвержденный распоряжением </w:t>
      </w:r>
      <w:r>
        <w:rPr>
          <w:sz w:val="28"/>
          <w:szCs w:val="24"/>
        </w:rPr>
        <w:t xml:space="preserve">заместителя главы админист</w:t>
      </w:r>
      <w:r>
        <w:rPr>
          <w:sz w:val="28"/>
          <w:szCs w:val="24"/>
        </w:rPr>
        <w:t xml:space="preserve">рации города Перми - начальника</w:t>
      </w:r>
      <w:r>
        <w:rPr>
          <w:sz w:val="28"/>
          <w:szCs w:val="24"/>
        </w:rPr>
        <w:t xml:space="preserve"> департамента финансов </w:t>
      </w:r>
      <w:r>
        <w:rPr>
          <w:sz w:val="28"/>
          <w:szCs w:val="24"/>
        </w:rPr>
        <w:t xml:space="preserve">администрации города Перми от 30 декабря 2020 г. № 059</w:t>
      </w:r>
      <w:r>
        <w:rPr>
          <w:sz w:val="28"/>
          <w:szCs w:val="24"/>
        </w:rPr>
        <w:t xml:space="preserve">-06-01</w:t>
      </w:r>
      <w:r>
        <w:rPr>
          <w:sz w:val="28"/>
          <w:szCs w:val="24"/>
        </w:rPr>
        <w:t xml:space="preserve">.01-03-р-178</w:t>
      </w:r>
      <w:r>
        <w:rPr>
          <w:sz w:val="28"/>
          <w:szCs w:val="24"/>
        </w:rPr>
        <w:t xml:space="preserve"> (</w:t>
      </w:r>
      <w:r>
        <w:rPr>
          <w:sz w:val="28"/>
          <w:szCs w:val="24"/>
        </w:rPr>
        <w:t xml:space="preserve">в ред. от</w:t>
      </w:r>
      <w:r>
        <w:rPr>
          <w:sz w:val="28"/>
          <w:szCs w:val="24"/>
        </w:rPr>
        <w:t xml:space="preserve"> 27.12.2021 № 059-06-01.01-03-р-228</w:t>
      </w:r>
      <w:r>
        <w:rPr>
          <w:sz w:val="28"/>
          <w:szCs w:val="24"/>
        </w:rPr>
        <w:t xml:space="preserve">), 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1.1. пункт 1.7 изложить в следующей редакции: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«1.7.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Для учета операций, осуществляемых участниками казначейского сопровождения, департаментом финансов от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крывается и ведется лицевой счет, предназначенный для учета операций со средствами участника казначейского сопровождения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, определенными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решением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Пермской городской Думы о бюджете на очередной финансовый год и на плановый период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правовым актом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администрации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(далее –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лицевой счет для учета операций участника казначейского сопровождения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).»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1.2. пункт 1.7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  <w:t xml:space="preserve">«1.7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  <w:t xml:space="preserve">. 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Для учета операций, осуществляемых получателем средств из бюджета, 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департаментом финансов от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крывается и ведется лицевой счет, предназначенный для учета операций со средствами, предоставляемыми из бюджета города Перми получателю средств из бюджета в случаях, установленных  федеральным законом,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решением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Пермской городской Думы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бюджете на очередной финансовый год и на плановый период</w:t>
      </w:r>
      <w:r>
        <w:rPr>
          <w:rFonts w:ascii="Times New Roman" w:hAnsi="Times New Roman" w:eastAsia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(далее –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лицевой счет для учета операций получателя средств из бюджета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).»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pStyle w:val="895"/>
        <w:ind w:firstLine="709"/>
        <w:jc w:val="both"/>
        <w:spacing w:line="240" w:lineRule="auto"/>
        <w:rPr>
          <w:strike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none"/>
        </w:rPr>
        <w:t xml:space="preserve">1.3.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пункт 1.8 признать утратившим силу;</w:t>
      </w:r>
      <w:r>
        <w:rPr>
          <w:strike w:val="0"/>
          <w:color w:val="000000" w:themeColor="text1"/>
          <w:sz w:val="28"/>
          <w:szCs w:val="28"/>
          <w:highlight w:val="none"/>
        </w:rPr>
      </w:r>
      <w:r>
        <w:rPr>
          <w:strike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1.4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 в абзаце восьмом пункта 1.10 слово «учетному» заменить словом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порядковому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»;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4"/>
          <w:highlight w:val="none"/>
        </w:rPr>
        <w:t xml:space="preserve">1.5. в пункте 2.60: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</w:t>
      </w:r>
      <w:r>
        <w:rPr>
          <w:color w:val="auto"/>
          <w:sz w:val="28"/>
          <w:szCs w:val="24"/>
          <w:highlight w:val="none"/>
        </w:rPr>
        <w:t xml:space="preserve">.5.1. в абзаце четвертом слова «Бюджетного кодекса» заменить словами «</w:t>
      </w:r>
      <w:r>
        <w:rPr>
          <w:color w:val="auto"/>
          <w:sz w:val="28"/>
          <w:szCs w:val="24"/>
          <w:highlight w:val="none"/>
        </w:rPr>
        <w:t xml:space="preserve">Бюджетного кодекса</w:t>
      </w:r>
      <w:r>
        <w:rPr>
          <w:color w:val="auto"/>
          <w:sz w:val="28"/>
          <w:szCs w:val="24"/>
          <w:highlight w:val="none"/>
        </w:rPr>
        <w:t xml:space="preserve"> Российской Федерации»;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1.5.2. </w:t>
      </w:r>
      <w:r>
        <w:rPr>
          <w:color w:val="000000" w:themeColor="text1"/>
          <w:sz w:val="28"/>
          <w:szCs w:val="28"/>
          <w:highlight w:val="none"/>
        </w:rPr>
        <w:t xml:space="preserve">в абзаце пятом знак препинания «;» заменить знаком препинания «.»</w:t>
      </w:r>
      <w:r>
        <w:rPr>
          <w:color w:val="00b050"/>
          <w:sz w:val="28"/>
          <w:szCs w:val="28"/>
          <w:highlight w:val="none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1.5.3. </w:t>
      </w:r>
      <w:r>
        <w:rPr>
          <w:sz w:val="28"/>
          <w:szCs w:val="24"/>
        </w:rPr>
        <w:t xml:space="preserve">абзац шестой </w:t>
      </w:r>
      <w:r>
        <w:rPr>
          <w:sz w:val="28"/>
          <w:szCs w:val="24"/>
        </w:rPr>
        <w:t xml:space="preserve">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«Положения настоящего Порядка, установленные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для участника казначейского сопровождения при открытии лицевого счета на основании договоров (соглашений), контрактов (договоров)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, распространяются на концессионные соглашения, соглашения о муниципально-частном партнерстве, контракты (договоры), источником финансового обеспечения которых являются указанные соглашения.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</w:t>
      </w:r>
      <w:r>
        <w:rPr>
          <w:color w:val="auto"/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000000" w:themeColor="text1"/>
          <w:sz w:val="28"/>
          <w:szCs w:val="28"/>
          <w:highlight w:val="none"/>
          <w:vertAlign w:val="baseline"/>
        </w:rPr>
        <w:suppressLineNumbers w:val="0"/>
      </w:pPr>
      <w:r>
        <w:rPr>
          <w:color w:val="00b050"/>
          <w:sz w:val="28"/>
          <w:szCs w:val="24"/>
        </w:rPr>
      </w:r>
      <w:r>
        <w:rPr>
          <w:color w:val="00b050"/>
          <w:sz w:val="28"/>
          <w:szCs w:val="28"/>
          <w:highlight w:val="none"/>
        </w:rPr>
        <w:t xml:space="preserve">1</w:t>
      </w:r>
      <w:r>
        <w:rPr>
          <w:color w:val="000000" w:themeColor="text1"/>
          <w:sz w:val="28"/>
          <w:szCs w:val="28"/>
          <w:highlight w:val="none"/>
        </w:rPr>
        <w:t xml:space="preserve">.6. пункт 2.61</w:t>
      </w:r>
      <w:r>
        <w:rPr>
          <w:color w:val="000000" w:themeColor="text1"/>
          <w:sz w:val="28"/>
          <w:szCs w:val="28"/>
          <w:highlight w:val="none"/>
          <w:vertAlign w:val="superscript"/>
        </w:rPr>
        <w:t xml:space="preserve">1</w:t>
      </w:r>
      <w:r>
        <w:rPr>
          <w:color w:val="000000" w:themeColor="text1"/>
          <w:sz w:val="28"/>
          <w:szCs w:val="28"/>
          <w:highlight w:val="none"/>
          <w:vertAlign w:val="superscript"/>
        </w:rPr>
        <w:t xml:space="preserve"> </w:t>
      </w:r>
      <w:r>
        <w:rPr>
          <w:color w:val="000000" w:themeColor="text1"/>
          <w:sz w:val="28"/>
          <w:szCs w:val="24"/>
        </w:rPr>
        <w:t xml:space="preserve">изложить в следующей редакции:</w:t>
      </w:r>
      <w:r>
        <w:rPr>
          <w:color w:val="000000" w:themeColor="text1"/>
          <w:sz w:val="28"/>
          <w:szCs w:val="28"/>
          <w:highlight w:val="none"/>
          <w:vertAlign w:val="superscript"/>
        </w:rPr>
        <w:t xml:space="preserve">:</w:t>
      </w:r>
      <w:r>
        <w:rPr>
          <w:color w:val="000000" w:themeColor="text1"/>
          <w:sz w:val="28"/>
          <w:szCs w:val="28"/>
          <w:highlight w:val="none"/>
          <w:vertAlign w:val="baseline"/>
        </w:rPr>
      </w:r>
      <w:r>
        <w:rPr>
          <w:color w:val="000000" w:themeColor="text1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  <w:vertAlign w:val="baseline"/>
        </w:rPr>
        <w:t xml:space="preserve">«2.61</w:t>
      </w:r>
      <w:r>
        <w:rPr>
          <w:color w:val="000000" w:themeColor="text1"/>
          <w:sz w:val="28"/>
          <w:szCs w:val="28"/>
          <w:highlight w:val="none"/>
          <w:vertAlign w:val="superscript"/>
        </w:rPr>
        <w:t xml:space="preserve">1</w:t>
      </w:r>
      <w:r>
        <w:rPr>
          <w:color w:val="000000" w:themeColor="text1"/>
          <w:sz w:val="28"/>
          <w:szCs w:val="28"/>
          <w:highlight w:val="none"/>
          <w:vertAlign w:val="baseline"/>
        </w:rPr>
        <w:t xml:space="preserve">.</w:t>
      </w:r>
      <w:r>
        <w:rPr>
          <w:color w:val="000000" w:themeColor="text1"/>
          <w:sz w:val="28"/>
          <w:szCs w:val="28"/>
          <w:highlight w:val="none"/>
          <w:vertAlign w:val="baseline"/>
        </w:rPr>
        <w:t xml:space="preserve"> </w:t>
      </w:r>
      <w:r>
        <w:rPr>
          <w:color w:val="000000" w:themeColor="text1"/>
          <w:sz w:val="28"/>
          <w:szCs w:val="28"/>
        </w:rPr>
        <w:t xml:space="preserve">Управление казначейства не позднее следующего рабочего дня </w:t>
      </w:r>
      <w:r>
        <w:rPr>
          <w:color w:val="000000" w:themeColor="text1"/>
          <w:sz w:val="28"/>
          <w:szCs w:val="28"/>
        </w:rPr>
        <w:t xml:space="preserve">со дня</w:t>
      </w:r>
      <w:r>
        <w:rPr>
          <w:color w:val="000000" w:themeColor="text1"/>
          <w:sz w:val="28"/>
          <w:szCs w:val="28"/>
        </w:rPr>
        <w:t xml:space="preserve"> представления участником казначейского сопровождения документов, необходимых для открытия лицевого счета</w:t>
      </w:r>
      <w:r>
        <w:rPr>
          <w:color w:val="000000" w:themeColor="text1"/>
          <w:sz w:val="28"/>
          <w:szCs w:val="28"/>
        </w:rPr>
        <w:t xml:space="preserve"> для учета операций участника казначейского сопровождения</w:t>
      </w:r>
      <w:r>
        <w:rPr>
          <w:color w:val="000000" w:themeColor="text1"/>
          <w:sz w:val="28"/>
          <w:szCs w:val="28"/>
        </w:rPr>
        <w:t xml:space="preserve">, направляет в </w:t>
      </w:r>
      <w:r>
        <w:rPr>
          <w:color w:val="000000" w:themeColor="text1"/>
          <w:sz w:val="28"/>
          <w:szCs w:val="28"/>
        </w:rPr>
        <w:t xml:space="preserve">Управление Федерального казначейства по Пермскому краю (далее </w:t>
      </w: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УФК по Пермскому краю) </w:t>
      </w:r>
      <w:r>
        <w:rPr>
          <w:color w:val="000000" w:themeColor="text1"/>
          <w:sz w:val="28"/>
          <w:szCs w:val="28"/>
        </w:rPr>
        <w:t xml:space="preserve">для </w:t>
      </w:r>
      <w:r>
        <w:rPr>
          <w:color w:val="000000" w:themeColor="text1"/>
          <w:sz w:val="28"/>
          <w:szCs w:val="28"/>
        </w:rPr>
        <w:t xml:space="preserve">осуществления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 открытии лицевых счетов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казначейского мониторинга в системе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казначейских платежей в соответствии со статьей 242.13-1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Бюджетного кодекса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Российской Федерации (далее   -  казначейский  мониторинг)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посредством использования единой системы межведомственного электронного взаимодействия либо посредством использования государственной интегрированной информационной системы управления общественными финансами «Электронный бюджет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нформацию о муниципальном</w:t>
      </w:r>
      <w:r>
        <w:rPr>
          <w:color w:val="000000" w:themeColor="text1"/>
          <w:sz w:val="28"/>
          <w:szCs w:val="28"/>
        </w:rPr>
        <w:t xml:space="preserve"> участни</w:t>
      </w:r>
      <w:r>
        <w:rPr>
          <w:color w:val="000000" w:themeColor="text1"/>
          <w:sz w:val="28"/>
          <w:szCs w:val="28"/>
        </w:rPr>
        <w:t xml:space="preserve">ке</w:t>
      </w:r>
      <w:r>
        <w:rPr>
          <w:color w:val="000000" w:themeColor="text1"/>
          <w:sz w:val="28"/>
          <w:szCs w:val="28"/>
        </w:rPr>
        <w:t xml:space="preserve"> казначейского сопровождения.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На основании информации, полученной от УФК по Пермскому краю о результатах проверки в рамках казначейского мониторинга для применения мер реагирования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в отношении участника казначейского сопровождения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управление казначейства осуществляет: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приостановление открытия лицевого счета;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keepLines w:val="0"/>
        <w:keepNext w:val="0"/>
        <w:spacing w:before="0" w:line="240" w:lineRule="auto"/>
        <w:rPr>
          <w:rFonts w:ascii="Times New Roman" w:hAnsi="Times New Roman" w:cs="Times New Roman" w:eastAsiaTheme="minorHAnsi"/>
          <w:bCs/>
          <w:i w:val="0"/>
          <w:i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отказ в открытии лицевого счета;</w:t>
      </w:r>
      <w:r>
        <w:rPr>
          <w:rFonts w:ascii="Times New Roman" w:hAnsi="Times New Roman" w:cs="Times New Roman" w:eastAsiaTheme="minorHAnsi"/>
          <w:bCs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 w:eastAsiaTheme="minorHAnsi"/>
          <w:bCs/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i w:val="0"/>
          <w:iCs w:val="0"/>
          <w:color w:val="00b05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предупреждение о наличии признаков финансовых нарушений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»;</w:t>
      </w:r>
      <w:r>
        <w:rPr>
          <w:i w:val="0"/>
          <w:iCs w:val="0"/>
          <w:color w:val="00b050"/>
          <w:sz w:val="28"/>
          <w:szCs w:val="28"/>
          <w:highlight w:val="none"/>
        </w:rPr>
      </w:r>
      <w:r>
        <w:rPr>
          <w:i w:val="0"/>
          <w:iCs w:val="0"/>
          <w:color w:val="00b050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color w:val="00b05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1.7. в пункте 2.6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1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1.7.1. абзац первый 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«2.61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. При наличии оснований для приостановления открытия лицевого счета для учета операций участника казначейского сопровождения управление казначейства не позднее следующего рабоч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его дня за днем приостановления открытия лицевого счета направляет Уведомление о приостановлении открытия лицевого счета по форме согласно приложению 15 к настоящему Порядку в электронном виде или при отсутствии технической возможности в письменном виде:»;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1.7.2. 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в абзаце пятом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 слова «или об отказе в его открытии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направляет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соответствующую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информацию в УФК по Пермскому краю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в электронном виде с использованием информационных систе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» заменить словами «открывает лицевой счет в соответствии с требованиями, установленными настоящим Порядком,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направляет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информацию об открытии лицевого счета в УФК по Пермскому краю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1.7.3. абзац шестой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принятия получателем бюджетных средств, предоставляющим субсидии (бюджетные инвестиции),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заказчиком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 контракту учреждения, контракту (договору)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решения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 отказе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открытии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лицевого счета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управление казначейства не позднее следующего рабочего дня после получения решения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направляет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участнику казначейского сопровождения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Уведомление 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  отказе  в  открытии  лицевого  счета  по  форме   согласно 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приложению  17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  к настоящему Порядку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осуществляет возв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рат  документов, представленных для открытия лицевого счета, не позднее второго рабочего дня, следующего за днем получения решения, 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направляет информацию в УФК по Пермскому краю</w:t>
      </w:r>
      <w:r>
        <w:rPr>
          <w:rFonts w:ascii="Times New Roman" w:hAnsi="Times New Roman" w:eastAsia="Times New Roman" w:cs="Times New Roman" w:eastAsiaTheme="minorHAnsi"/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1.8. в пункте 2.61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1.8.1.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 слова «, указанных в информации, полученной от УФК по Пермскому краю по результатам проведенного бюджетного мониторинга,» исключить;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1.8.2. после слов «заказчику по контракту учреждения, контракту (договору)» дополнить словами «, участнику казначейского сопровождения»;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1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.9. пункте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2.62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изложить в следующей редакции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t xml:space="preserve">«2.62. </w:t>
      </w:r>
      <w:r>
        <w:rPr>
          <w:sz w:val="28"/>
          <w:szCs w:val="28"/>
        </w:rPr>
        <w:t xml:space="preserve">На основании документов, представленных </w:t>
      </w:r>
      <w:r>
        <w:rPr>
          <w:sz w:val="28"/>
          <w:szCs w:val="28"/>
        </w:rPr>
        <w:t xml:space="preserve">участником казначейского сопровождения, получателем средств из бюджета</w:t>
      </w:r>
      <w:r>
        <w:rPr>
          <w:sz w:val="28"/>
          <w:szCs w:val="28"/>
        </w:rPr>
        <w:t xml:space="preserve"> для открытия лицевого счета в соответствии с пунктами </w:t>
      </w:r>
      <w:r>
        <w:rPr>
          <w:sz w:val="28"/>
          <w:szCs w:val="28"/>
        </w:rPr>
        <w:t xml:space="preserve">2.5, </w:t>
      </w:r>
      <w:r>
        <w:rPr>
          <w:sz w:val="28"/>
          <w:szCs w:val="28"/>
        </w:rPr>
        <w:t xml:space="preserve">2.60 - </w:t>
      </w:r>
      <w:r>
        <w:rPr>
          <w:sz w:val="28"/>
          <w:szCs w:val="28"/>
        </w:rPr>
        <w:t xml:space="preserve">2.60</w:t>
      </w:r>
      <w:r>
        <w:rPr>
          <w:sz w:val="28"/>
          <w:szCs w:val="28"/>
          <w:vertAlign w:val="superscript"/>
        </w:rPr>
        <w:t xml:space="preserve">3</w:t>
      </w:r>
      <w:r>
        <w:rPr>
          <w:sz w:val="28"/>
          <w:szCs w:val="28"/>
        </w:rPr>
        <w:t xml:space="preserve"> настоящего Порядка и прошедших проверку в соответствии с требованиями, установленными пунктом 2.11 настоящего П</w:t>
      </w:r>
      <w:r>
        <w:rPr>
          <w:sz w:val="28"/>
          <w:szCs w:val="28"/>
        </w:rPr>
        <w:t xml:space="preserve">орядка, а также при отсутствии</w:t>
      </w:r>
      <w:r>
        <w:rPr>
          <w:sz w:val="28"/>
          <w:szCs w:val="28"/>
        </w:rPr>
        <w:t xml:space="preserve"> оснований для отказа в открытии (приостановлении открытия) лицевого счета для учета операций участника казначейского сопровождения</w:t>
      </w:r>
      <w:r>
        <w:rPr>
          <w:sz w:val="28"/>
          <w:szCs w:val="28"/>
        </w:rPr>
        <w:t xml:space="preserve">, управление казначейства </w:t>
      </w:r>
      <w:r>
        <w:rPr>
          <w:sz w:val="28"/>
          <w:szCs w:val="28"/>
        </w:rPr>
        <w:t xml:space="preserve">не позднее следующего рабочего дня после завершения указанных проверок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открытие клиенту соответствующего лицевого счета.</w:t>
      </w:r>
      <w:r>
        <w:rPr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1.10. пункт 2.62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 признать утратившим силу;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1.11. пункт 2.62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2.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62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. </w:t>
      </w:r>
      <w:r>
        <w:rPr>
          <w:color w:val="000000" w:themeColor="text1"/>
          <w:sz w:val="28"/>
          <w:szCs w:val="28"/>
        </w:rPr>
        <w:t xml:space="preserve">При наличии признаков финансовых нарушений </w:t>
      </w:r>
      <w:r>
        <w:rPr>
          <w:color w:val="000000" w:themeColor="text1"/>
          <w:sz w:val="28"/>
          <w:szCs w:val="28"/>
        </w:rPr>
        <w:t xml:space="preserve">управление казначейства открывает лицевой счет </w:t>
      </w:r>
      <w:r>
        <w:rPr>
          <w:color w:val="000000" w:themeColor="text1"/>
          <w:sz w:val="28"/>
          <w:szCs w:val="28"/>
        </w:rPr>
        <w:t xml:space="preserve">участнику казначейского </w:t>
      </w:r>
      <w:r>
        <w:rPr>
          <w:color w:val="000000" w:themeColor="text1"/>
          <w:sz w:val="28"/>
          <w:szCs w:val="28"/>
        </w:rPr>
        <w:t xml:space="preserve">сопровождения и не позднее следующего рабочего дня за днем открытия лицевого счета </w:t>
      </w:r>
      <w:r>
        <w:rPr>
          <w:color w:val="000000" w:themeColor="text1"/>
          <w:sz w:val="28"/>
          <w:szCs w:val="28"/>
        </w:rPr>
        <w:t xml:space="preserve"> направляет заказчику и участнику казначейского сопровождения Предупреждение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наличии признаков финансовых нарушений при открытии лицевого счета</w:t>
      </w:r>
      <w:r>
        <w:rPr>
          <w:color w:val="000000" w:themeColor="text1"/>
          <w:sz w:val="28"/>
          <w:szCs w:val="28"/>
        </w:rPr>
        <w:t xml:space="preserve"> по форме согласно приложению 18</w:t>
      </w:r>
      <w:r>
        <w:rPr>
          <w:color w:val="000000" w:themeColor="text1"/>
          <w:sz w:val="28"/>
          <w:szCs w:val="28"/>
        </w:rPr>
        <w:t xml:space="preserve"> к </w:t>
      </w:r>
      <w:r>
        <w:rPr>
          <w:color w:val="000000" w:themeColor="text1"/>
          <w:sz w:val="28"/>
          <w:szCs w:val="28"/>
        </w:rPr>
        <w:t xml:space="preserve">настоящему</w:t>
      </w:r>
      <w:r>
        <w:rPr>
          <w:color w:val="000000" w:themeColor="text1"/>
          <w:sz w:val="28"/>
          <w:szCs w:val="28"/>
        </w:rPr>
        <w:t xml:space="preserve"> Порядку </w:t>
      </w:r>
      <w:r>
        <w:rPr>
          <w:color w:val="000000" w:themeColor="text1"/>
          <w:sz w:val="28"/>
          <w:szCs w:val="28"/>
        </w:rPr>
        <w:t xml:space="preserve">в электронном виде или </w:t>
      </w:r>
      <w:r>
        <w:rPr>
          <w:color w:val="000000" w:themeColor="text1"/>
          <w:sz w:val="28"/>
          <w:szCs w:val="28"/>
        </w:rPr>
        <w:t xml:space="preserve">при отсутствии технической возможности </w:t>
      </w:r>
      <w:r>
        <w:rPr>
          <w:color w:val="000000" w:themeColor="text1"/>
          <w:sz w:val="28"/>
          <w:szCs w:val="28"/>
        </w:rPr>
        <w:t xml:space="preserve">в письменном виде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1.12. дополнить пунктом 2.62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2.62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vertAlign w:val="baseline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vertAlign w:val="baseline"/>
        </w:rPr>
        <w:t xml:space="preserve">На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открытом лицевом счете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для учета операций участника казначейского сопровождения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открывается раздел на лицевом счете,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которому присваивается аналитический код,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соответствующий муниципальному контракту (контракту, договору, соглашению), представленному для открытия лицевого счета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Для открытия последующих разделов на лицевом счете участник казначейского сопровождения представляет в управление казначейства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муниципальный контракт (контракт, договор, соглашение)</w:t>
      </w:r>
      <w:r>
        <w:rPr>
          <w:rFonts w:ascii="Times New Roman" w:hAnsi="Times New Roman" w:eastAsia="Times New Roman" w:cs="Times New Roman"/>
          <w:i w:val="0"/>
          <w:iCs w:val="0"/>
          <w:color w:val="ff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 в соответствии с пунктом 2.60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</w:rPr>
        <w:t xml:space="preserve">настоящего Порядка</w:t>
      </w: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  <w:highlight w:val="none"/>
          <w:vertAlign w:val="baseline"/>
        </w:rPr>
        <w:t xml:space="preserve">»;</w:t>
      </w: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  <w:t xml:space="preserve">1.13.</w:t>
      </w: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  <w:t xml:space="preserve"> абзац третий пункт 2.66 изложить в следующей редакции;</w:t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исполнения (расторжения) муниципального контракта (контракта, договора, соглашения) и/или отсутствия операций на лицевом счете в течение года,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cs="Times New Roman"/>
          <w:bCs w:val="0"/>
          <w:i w:val="0"/>
          <w:iCs/>
          <w:color w:val="auto"/>
          <w:sz w:val="28"/>
          <w:szCs w:val="28"/>
          <w:highlight w:val="none"/>
          <w:vertAlign w:val="baseline"/>
        </w:rPr>
        <w:t xml:space="preserve">1.14. пункт 2.69 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«При наличии на закрываемом лицевом счете показателей, не переданных до конца тек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ущего финансового года, лицевой счет закрывается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 позднее пяти рабочих дней после завершения текущего финансового года на основании заявления на закрытие лицевого счета, оформленного ответственным работником управления казначейства.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»;</w:t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Cs w:val="0"/>
          <w:i w:val="0"/>
          <w:color w:val="auto"/>
          <w:sz w:val="28"/>
          <w:szCs w:val="28"/>
          <w:highlight w:val="none"/>
          <w:vertAlign w:val="baseline"/>
        </w:rPr>
      </w:r>
    </w:p>
    <w:p>
      <w:pPr>
        <w:pStyle w:val="895"/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</w:rPr>
        <w:t xml:space="preserve">1.15.</w:t>
      </w:r>
      <w:r>
        <w:rPr>
          <w:color w:val="auto"/>
          <w:sz w:val="28"/>
          <w:szCs w:val="28"/>
        </w:rPr>
        <w:t xml:space="preserve"> дополнить пунктом</w:t>
      </w:r>
      <w:r>
        <w:rPr>
          <w:color w:val="auto"/>
          <w:sz w:val="28"/>
          <w:szCs w:val="28"/>
        </w:rPr>
        <w:t xml:space="preserve"> 2.</w:t>
      </w:r>
      <w:r>
        <w:rPr>
          <w:color w:val="auto"/>
          <w:sz w:val="28"/>
          <w:szCs w:val="28"/>
        </w:rPr>
        <w:t xml:space="preserve">69</w:t>
      </w:r>
      <w:r>
        <w:rPr>
          <w:color w:val="auto"/>
          <w:sz w:val="28"/>
          <w:szCs w:val="28"/>
          <w:vertAlign w:val="superscript"/>
        </w:rPr>
        <w:t xml:space="preserve">1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следующего содержания: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bCs w:val="0"/>
          <w:i w:val="0"/>
          <w:color w:val="000000" w:themeColor="text1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«</w:t>
      </w:r>
      <w:r>
        <w:rPr>
          <w:i w:val="0"/>
          <w:iCs w:val="0"/>
          <w:color w:val="000000" w:themeColor="text1"/>
          <w:sz w:val="28"/>
          <w:szCs w:val="28"/>
        </w:rPr>
        <w:t xml:space="preserve">2.69</w:t>
      </w:r>
      <w:r>
        <w:rPr>
          <w:i w:val="0"/>
          <w:iCs w:val="0"/>
          <w:color w:val="000000" w:themeColor="text1"/>
          <w:sz w:val="28"/>
          <w:szCs w:val="28"/>
          <w:vertAlign w:val="superscript"/>
        </w:rPr>
        <w:t xml:space="preserve">1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</w:rPr>
        <w:t xml:space="preserve">Закрытие раздела на лицевом счете для учета операций</w:t>
      </w:r>
      <w:r>
        <w:rPr>
          <w:i w:val="0"/>
          <w:iCs w:val="0"/>
          <w:color w:val="000000" w:themeColor="text1"/>
          <w:sz w:val="28"/>
          <w:szCs w:val="28"/>
        </w:rPr>
        <w:t xml:space="preserve"> участника казначейского сопровождения осуществляется</w:t>
      </w:r>
      <w:r>
        <w:rPr>
          <w:i w:val="0"/>
          <w:iCs w:val="0"/>
          <w:color w:val="000000" w:themeColor="text1"/>
          <w:sz w:val="28"/>
          <w:szCs w:val="28"/>
        </w:rPr>
        <w:t xml:space="preserve"> управлением казначейства в случае исполнения (расторжения) муниципального контракта (контракта, договора, соглашения), являющихся основанием для открытия разделов на лицевом счете, и/</w:t>
      </w:r>
      <w:r>
        <w:rPr>
          <w:i w:val="0"/>
          <w:iCs w:val="0"/>
          <w:color w:val="000000" w:themeColor="text1"/>
          <w:sz w:val="28"/>
          <w:szCs w:val="28"/>
        </w:rPr>
        <w:t xml:space="preserve">или отсутствия операций на разделе на лицевом счете в течение года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Cs w:val="0"/>
          <w:i w:val="0"/>
          <w:color w:val="000000" w:themeColor="text1"/>
          <w:sz w:val="28"/>
          <w:szCs w:val="28"/>
        </w:rPr>
      </w:r>
      <w:r>
        <w:rPr>
          <w:bCs w:val="0"/>
          <w:i w:val="0"/>
          <w:color w:val="000000" w:themeColor="text1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Раздел на лицевом счете</w:t>
      </w:r>
      <w:r>
        <w:rPr>
          <w:color w:val="auto"/>
          <w:sz w:val="28"/>
          <w:szCs w:val="28"/>
        </w:rPr>
        <w:t xml:space="preserve"> закрывается при отсутствии отраженных в указанном разделе учтенных показателей и остатка денежных средств.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наличии на закрываемом разделе на лицевом счете учтенных показателей, раздел на лицевом счете закрывается не позднее пяти рабочих дней после завершения текущего финансового года.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4"/>
        </w:rPr>
        <w:t xml:space="preserve">1.16. наименование приложения 11 к Порядку изложить в следующей редакции: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4"/>
        </w:rPr>
        <w:t xml:space="preserve">«</w:t>
      </w:r>
      <w:r>
        <w:rPr>
          <w:color w:val="auto"/>
          <w:sz w:val="28"/>
          <w:szCs w:val="24"/>
        </w:rPr>
        <w:t xml:space="preserve">АКТ </w:t>
      </w:r>
      <w:r>
        <w:rPr>
          <w:color w:val="auto"/>
          <w:sz w:val="28"/>
          <w:szCs w:val="24"/>
        </w:rPr>
        <w:t xml:space="preserve">сверки показателей лицевого счета, открытого бюджетному (автономному</w:t>
      </w:r>
      <w:r>
        <w:rPr>
          <w:color w:val="auto"/>
          <w:sz w:val="28"/>
          <w:szCs w:val="24"/>
        </w:rPr>
        <w:t xml:space="preserve">)</w:t>
      </w:r>
      <w:r>
        <w:rPr>
          <w:color w:val="auto"/>
          <w:sz w:val="28"/>
          <w:szCs w:val="24"/>
        </w:rPr>
        <w:t xml:space="preserve"> учрежден</w:t>
      </w:r>
      <w:r>
        <w:rPr>
          <w:color w:val="auto"/>
          <w:sz w:val="28"/>
          <w:szCs w:val="24"/>
        </w:rPr>
        <w:t xml:space="preserve">ию, участнику казначейского сопровождения, получателю средств из бюджета</w:t>
      </w:r>
      <w:r>
        <w:rPr>
          <w:color w:val="auto"/>
          <w:sz w:val="28"/>
          <w:szCs w:val="24"/>
        </w:rPr>
        <w:t xml:space="preserve"> </w:t>
      </w:r>
      <w:r>
        <w:rPr>
          <w:color w:val="auto"/>
          <w:sz w:val="28"/>
          <w:szCs w:val="24"/>
        </w:rPr>
        <w:t xml:space="preserve">№</w:t>
      </w:r>
      <w:r>
        <w:rPr>
          <w:color w:val="auto"/>
          <w:sz w:val="28"/>
          <w:szCs w:val="24"/>
        </w:rPr>
        <w:t xml:space="preserve">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4"/>
        </w:rPr>
        <w:t xml:space="preserve">1.17. </w:t>
      </w:r>
      <w:r>
        <w:rPr>
          <w:color w:val="auto"/>
          <w:sz w:val="28"/>
          <w:szCs w:val="24"/>
        </w:rPr>
        <w:t xml:space="preserve">наименование приложения 12 к Порядку изложить в следующей редакции: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4"/>
        </w:rPr>
        <w:t xml:space="preserve">«</w:t>
      </w:r>
      <w:r>
        <w:rPr>
          <w:color w:val="auto"/>
          <w:sz w:val="28"/>
          <w:szCs w:val="24"/>
        </w:rPr>
        <w:t xml:space="preserve">АКТ </w:t>
      </w:r>
      <w:r>
        <w:rPr>
          <w:color w:val="auto"/>
          <w:sz w:val="28"/>
          <w:szCs w:val="24"/>
        </w:rPr>
        <w:t xml:space="preserve">приемки-передачи</w:t>
      </w:r>
      <w:r>
        <w:rPr>
          <w:color w:val="auto"/>
          <w:sz w:val="28"/>
          <w:szCs w:val="24"/>
        </w:rPr>
        <w:t xml:space="preserve"> показателей лицевого счета, открытого бюджетному (автономному</w:t>
      </w:r>
      <w:r>
        <w:rPr>
          <w:color w:val="auto"/>
          <w:sz w:val="28"/>
          <w:szCs w:val="24"/>
        </w:rPr>
        <w:t xml:space="preserve">)</w:t>
      </w:r>
      <w:r>
        <w:rPr>
          <w:color w:val="auto"/>
          <w:sz w:val="28"/>
          <w:szCs w:val="24"/>
        </w:rPr>
        <w:t xml:space="preserve"> учреждению, участнику казначейского сопровождения, получателю средств из бюджета</w:t>
      </w:r>
      <w:r>
        <w:rPr>
          <w:color w:val="auto"/>
          <w:sz w:val="28"/>
          <w:szCs w:val="24"/>
        </w:rPr>
        <w:t xml:space="preserve"> </w:t>
      </w:r>
      <w:r>
        <w:rPr>
          <w:color w:val="auto"/>
          <w:sz w:val="28"/>
          <w:szCs w:val="24"/>
        </w:rPr>
        <w:t xml:space="preserve">№</w:t>
      </w:r>
      <w:r>
        <w:rPr>
          <w:color w:val="auto"/>
          <w:sz w:val="28"/>
          <w:szCs w:val="24"/>
        </w:rPr>
        <w:t xml:space="preserve">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</w:rPr>
        <w:t xml:space="preserve">1.18. в приложении 14: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1.18.1. пункт 2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после абзаца четвертого дополнить абзацем следующего содержания: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строке «Основание для открытия лицевого счета» 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 документа, в соответствии с которым осущес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вляется открытие лицевого счета для учета операций участника казначейского сопровождения, лицевого счета для учета операций получателя средств из бюджета, с указанием в кодовой зоне номера и даты данного документа в формате "день, месяц, год" (ДД.ММ.ГГГГ).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</w:r>
      <w:r>
        <w:rPr>
          <w:color w:val="auto"/>
          <w:sz w:val="28"/>
          <w:szCs w:val="24"/>
          <w:highlight w:val="none"/>
        </w:rPr>
        <w:t xml:space="preserve">1.18.2. в абзаце шестом пункта 15 слова «по результатам проведенного бюджетного мониторинга» исключить;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1.18.3. в пункте 17: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1.18.3.1.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после абзаца четвертого дополнить абзацем следующего содержания: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строке "Н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аименование участника казначейского сопровождения" - полное или сокращенное наименование участника казначейского сопровождения в соответствии с полным или сокращенным наименованием, указанным в учредительных документах, с отражением в кодовой зоне его ИНН.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1.18.3.2. в абзаце</w:t>
      </w:r>
      <w:r>
        <w:rPr>
          <w:color w:val="000000" w:themeColor="text1"/>
          <w:sz w:val="28"/>
          <w:szCs w:val="24"/>
          <w:highlight w:val="none"/>
        </w:rPr>
        <w:t xml:space="preserve"> пятом</w:t>
      </w:r>
      <w:r>
        <w:rPr>
          <w:color w:val="auto"/>
          <w:sz w:val="28"/>
          <w:szCs w:val="24"/>
          <w:highlight w:val="none"/>
        </w:rPr>
        <w:t xml:space="preserve"> </w:t>
      </w:r>
      <w:r>
        <w:rPr>
          <w:color w:val="auto"/>
          <w:sz w:val="28"/>
          <w:szCs w:val="24"/>
          <w:highlight w:val="none"/>
        </w:rPr>
        <w:t xml:space="preserve">слова «по результатам проведенного бюджетного мониторинга» исключить</w:t>
      </w:r>
      <w:r>
        <w:rPr>
          <w:color w:val="auto"/>
          <w:sz w:val="28"/>
          <w:szCs w:val="24"/>
          <w:highlight w:val="none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1.18.4. </w:t>
      </w:r>
      <w:r>
        <w:rPr>
          <w:color w:val="auto"/>
          <w:sz w:val="28"/>
          <w:szCs w:val="24"/>
          <w:highlight w:val="none"/>
        </w:rPr>
        <w:t xml:space="preserve">в пункте 18: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1.18.4.1. абзац первый изложить в следующей редакции;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«Формирование предупреждения о наличии признаков финансовых нарушений при открытии лицевого счета по форме согласно приложению 18 к настоящему Порядку осуществляется управлением казначейства следующим образом.»;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4"/>
          <w:highlight w:val="none"/>
        </w:rPr>
        <w:t xml:space="preserve">1.18.4.2. в абзаце пятом </w:t>
      </w:r>
      <w:r>
        <w:rPr>
          <w:color w:val="auto"/>
          <w:sz w:val="28"/>
          <w:szCs w:val="24"/>
          <w:highlight w:val="none"/>
        </w:rPr>
        <w:t xml:space="preserve">слова «по результатам проведенного бюджетного мониторинга» исключить</w:t>
      </w:r>
      <w:r>
        <w:rPr>
          <w:color w:val="auto"/>
          <w:sz w:val="28"/>
          <w:szCs w:val="24"/>
          <w:highlight w:val="none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1.18.4.3. абзац шестой изложить в следующей редакции: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«П</w:t>
      </w:r>
      <w:r>
        <w:rPr>
          <w:color w:val="auto"/>
          <w:sz w:val="28"/>
          <w:szCs w:val="24"/>
          <w:highlight w:val="none"/>
        </w:rPr>
        <w:t xml:space="preserve">редупреждения о наличии признаков финансовых нарушений при открытии лицевого счета</w:t>
      </w:r>
      <w:r>
        <w:rPr>
          <w:color w:val="auto"/>
          <w:sz w:val="28"/>
          <w:szCs w:val="24"/>
          <w:highlight w:val="none"/>
        </w:rPr>
        <w:t xml:space="preserve"> подписывается:»;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4"/>
          <w:highlight w:val="none"/>
        </w:rPr>
        <w:t xml:space="preserve">1.19. </w:t>
      </w:r>
      <w:r>
        <w:rPr>
          <w:sz w:val="28"/>
          <w:szCs w:val="24"/>
        </w:rPr>
        <w:t xml:space="preserve">приложение 17 к Порядку </w:t>
      </w:r>
      <w:r>
        <w:rPr>
          <w:sz w:val="28"/>
          <w:szCs w:val="24"/>
        </w:rPr>
        <w:t xml:space="preserve">изложить в редакции согласно приложению к настоящему распоряжению</w:t>
      </w:r>
      <w:r>
        <w:rPr>
          <w:sz w:val="28"/>
          <w:szCs w:val="24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4"/>
          <w:highlight w:val="none"/>
        </w:rPr>
        <w:t xml:space="preserve">1.20. наименование приложения 18 к Порядку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4"/>
          <w:highlight w:val="none"/>
        </w:rPr>
        <w:t xml:space="preserve">«ПРЕДУПРЕЖДЕНИЕ о наличии признаков финансовых нарушений при открытии лицевого счета»</w:t>
      </w:r>
      <w:r>
        <w:rPr>
          <w:sz w:val="28"/>
          <w:szCs w:val="24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2. </w:t>
      </w:r>
      <w:r>
        <w:rPr>
          <w:color w:val="auto"/>
          <w:sz w:val="28"/>
          <w:szCs w:val="28"/>
        </w:rPr>
        <w:t xml:space="preserve">Настоящее распоряжение вступает в силу с</w:t>
      </w:r>
      <w:r>
        <w:rPr>
          <w:color w:val="auto"/>
          <w:sz w:val="28"/>
          <w:szCs w:val="28"/>
        </w:rPr>
        <w:t xml:space="preserve">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</w:t>
      </w:r>
      <w:r>
        <w:rPr>
          <w:color w:val="auto"/>
          <w:sz w:val="28"/>
          <w:szCs w:val="28"/>
        </w:rPr>
        <w:t xml:space="preserve">Н</w:t>
      </w:r>
      <w:r>
        <w:rPr>
          <w:color w:val="auto"/>
          <w:sz w:val="28"/>
          <w:szCs w:val="28"/>
        </w:rPr>
        <w:t xml:space="preserve">ачальнику управления казначейства </w:t>
      </w:r>
      <w:r>
        <w:rPr>
          <w:color w:val="auto"/>
          <w:sz w:val="28"/>
          <w:szCs w:val="28"/>
        </w:rPr>
        <w:t xml:space="preserve">департамента финансов администрации города Перми </w:t>
      </w:r>
      <w:r>
        <w:rPr>
          <w:color w:val="auto"/>
          <w:sz w:val="28"/>
          <w:szCs w:val="28"/>
        </w:rPr>
        <w:t xml:space="preserve">Молчановой Н.П. обеспечить </w:t>
      </w:r>
      <w:r>
        <w:rPr>
          <w:color w:val="auto"/>
          <w:sz w:val="28"/>
          <w:szCs w:val="28"/>
        </w:rPr>
        <w:t xml:space="preserve">направление </w:t>
      </w:r>
      <w:r>
        <w:rPr>
          <w:color w:val="auto"/>
          <w:sz w:val="28"/>
          <w:szCs w:val="28"/>
        </w:rPr>
        <w:t xml:space="preserve">настоящего распоряжения</w:t>
      </w:r>
      <w:r>
        <w:rPr>
          <w:color w:val="auto"/>
          <w:sz w:val="28"/>
          <w:szCs w:val="28"/>
        </w:rPr>
        <w:t xml:space="preserve"> в управление по общим вопросам администрации города Перми для обнародования посредством официального опубликования в печатном средстве массовой информации «Официальный бюллетень орган</w:t>
      </w:r>
      <w:r>
        <w:rPr>
          <w:color w:val="auto"/>
          <w:sz w:val="28"/>
          <w:szCs w:val="28"/>
        </w:rPr>
        <w:t xml:space="preserve">ов местного </w:t>
      </w:r>
      <w:r>
        <w:rPr>
          <w:color w:val="auto"/>
          <w:sz w:val="28"/>
          <w:szCs w:val="28"/>
        </w:rPr>
        <w:t xml:space="preserve">самоуправления</w:t>
      </w:r>
      <w:r>
        <w:rPr>
          <w:color w:val="auto"/>
          <w:sz w:val="28"/>
          <w:szCs w:val="28"/>
        </w:rPr>
        <w:t xml:space="preserve"> муниципального образования город Пермь» и в информационно-аналитическое управление администрации города Перми для обнародования посредством официального опубликования  в сетевом издании «Официальный сайт муниципального образования город Пермь </w:t>
      </w:r>
      <w:hyperlink r:id="rId14" w:tooltip="http://www.gorodperm.ru" w:history="1">
        <w:r>
          <w:rPr>
            <w:rStyle w:val="877"/>
            <w:color w:val="auto"/>
            <w:sz w:val="28"/>
            <w:szCs w:val="28"/>
          </w:rPr>
          <w:t xml:space="preserve">www.gorodperm.ru</w:t>
        </w:r>
      </w:hyperlink>
      <w:r>
        <w:rPr>
          <w:color w:val="auto"/>
          <w:sz w:val="28"/>
          <w:szCs w:val="28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Заместителю начальника департамента - нач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альнику управления расходов бюджета департамента финансов администрации города Перми Канзепаровой И.В. обеспечить размещение настоящего распоряжения на официальном сайте департамента финансов администрации города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Контроль за исполнением настоящего распоряжения возложить на начальника управления казначейства департамента финансов администрации города Перми Молчанову Н.П.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ind w:firstLine="709"/>
        <w:jc w:val="center"/>
        <w:spacing w:line="240" w:lineRule="auto"/>
        <w:rPr>
          <w:b/>
          <w:bCs/>
        </w:rPr>
        <w:suppressLineNumbers w:val="0"/>
      </w:pP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  <w:tab/>
        <w:tab/>
        <w:tab/>
        <w:tab/>
        <w:t xml:space="preserve">                      В.С.</w:t>
      </w:r>
      <w:r>
        <w:rPr>
          <w:sz w:val="28"/>
          <w:szCs w:val="28"/>
        </w:rPr>
        <w:t xml:space="preserve"> Титяпкина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2"/>
          <w:footnotePr/>
          <w:endnotePr/>
          <w:type w:val="nextPage"/>
          <w:pgSz w:w="11900" w:h="16820" w:orient="portrait"/>
          <w:pgMar w:top="567" w:right="567" w:bottom="1134" w:left="1418" w:header="709" w:footer="709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ind w:left="5669" w:right="0" w:firstLine="0"/>
        <w:jc w:val="left"/>
        <w:spacing w:line="238" w:lineRule="exact"/>
        <w:rPr>
          <w:sz w:val="24"/>
          <w:szCs w:val="24"/>
          <w:highlight w:val="none"/>
        </w:rPr>
        <w:outlineLvl w:val="1"/>
      </w:pPr>
      <w:r>
        <w:rPr>
          <w:sz w:val="28"/>
          <w:szCs w:val="28"/>
        </w:rPr>
        <w:t xml:space="preserve">Приложение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09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sz w:val="28"/>
          <w:szCs w:val="28"/>
          <w:highlight w:val="none"/>
        </w:rPr>
        <w:t xml:space="preserve">к распоряжению </w:t>
      </w:r>
      <w:r>
        <w:rPr>
          <w:b w:val="0"/>
          <w:bCs w:val="0"/>
          <w:sz w:val="28"/>
          <w:szCs w:val="28"/>
        </w:rPr>
        <w:t xml:space="preserve">начальника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09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департамента финансов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09"/>
        <w:ind w:left="5669" w:right="0" w:firstLine="0"/>
        <w:jc w:val="left"/>
        <w:spacing w:line="238" w:lineRule="exact"/>
        <w:rPr>
          <w:b w:val="0"/>
          <w:bCs w:val="0"/>
          <w:sz w:val="24"/>
          <w:szCs w:val="24"/>
        </w:rPr>
      </w:pPr>
      <w:r>
        <w:rPr>
          <w:b w:val="0"/>
          <w:bCs w:val="0"/>
          <w:sz w:val="28"/>
          <w:szCs w:val="28"/>
        </w:rPr>
        <w:t xml:space="preserve">администрации города Перми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09"/>
        <w:ind w:left="5669" w:right="0" w:firstLine="0"/>
        <w:jc w:val="left"/>
        <w:spacing w:line="238" w:lineRule="exac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  <w:t xml:space="preserve">от _________ № ________________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09"/>
        <w:ind w:left="4535" w:right="0" w:firstLine="0"/>
        <w:jc w:val="left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10"/>
        <w:jc w:val="both"/>
        <w:spacing w:line="240" w:lineRule="auto"/>
      </w:pPr>
      <w:r/>
      <w:r/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921" w:type="dxa"/>
        <w:tblInd w:w="-1" w:type="dxa"/>
        <w:tblBorders>
          <w:right w:val="non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324"/>
        <w:gridCol w:w="3453"/>
        <w:gridCol w:w="1933"/>
        <w:gridCol w:w="1212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УВЕДОМЛЕНИЕ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widowControl w:val="off"/>
              <w:rPr>
                <w:rFonts w:ascii="Calibri" w:hAnsi="Calibri" w:cs="Calibri"/>
              </w:rPr>
            </w:pPr>
            <w:r>
              <w:rPr>
                <w:b/>
              </w:rPr>
              <w:t xml:space="preserve">ОБ ОТКАЗЕ В ОТКРЫТИИ ЛИЦЕВОГО СЧЕТА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3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КОДЫ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от </w:t>
            </w:r>
            <w:r>
              <w:t xml:space="preserve">«</w:t>
            </w:r>
            <w:r>
              <w:t xml:space="preserve">____» _________</w:t>
            </w:r>
            <w:r>
              <w:t xml:space="preserve">_</w:t>
            </w:r>
            <w:r>
              <w:t xml:space="preserve"> 20__ 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</w:pPr>
            <w:r>
              <w:t xml:space="preserve">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vAlign w:val="bottom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>
          <w:trHeight w:val="13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кого: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3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2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>
          <w:trHeight w:val="311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</w:t>
            </w:r>
            <w:r>
              <w:rPr>
                <w:sz w:val="18"/>
                <w:szCs w:val="18"/>
              </w:rPr>
              <w:t xml:space="preserve">аименование </w:t>
            </w:r>
            <w:r>
              <w:rPr>
                <w:sz w:val="18"/>
                <w:szCs w:val="18"/>
              </w:rPr>
              <w:t xml:space="preserve">финансового органа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5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sz w:val="18"/>
                <w:szCs w:val="18"/>
              </w:rPr>
              <w:t xml:space="preserve">Департамент финансов администрации города Перми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</w:pPr>
            <w:r>
              <w:t xml:space="preserve">по </w:t>
            </w:r>
            <w:r>
              <w:t xml:space="preserve">ОКПО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212" w:type="dxa"/>
            <w:vAlign w:val="center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Кому: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3453" w:type="dxa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2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>
          <w:trHeight w:val="413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324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получателя бюджетных средств, предоставляющего субсидии (бюджетные инвестиции) /заказчика по контракту учреждения, контракту (договору)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3453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</w:pPr>
            <w:r>
              <w:t xml:space="preserve">ИНН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vAlign w:val="bottom"/>
            <w:vMerge w:val="continue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>
          <w:trHeight w:val="412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vAlign w:val="bottom"/>
            <w:vMerge w:val="continue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453" w:type="dxa"/>
            <w:vAlign w:val="bottom"/>
            <w:vMerge w:val="continue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</w:pPr>
            <w:r>
              <w:t xml:space="preserve">номер лицевого счета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vAlign w:val="bottom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  <w:tr>
        <w:tblPrEx/>
        <w:trPr>
          <w:trHeight w:val="412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4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участника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казначейского сопровождения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453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33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widowControl w:val="off"/>
            </w:pPr>
            <w:r>
              <w:t xml:space="preserve">ИНН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vAlign w:val="bottom"/>
            <w:vMerge w:val="restart"/>
            <w:textDirection w:val="lrTb"/>
            <w:noWrap w:val="false"/>
          </w:tcPr>
          <w:p>
            <w:pPr>
              <w:widowControl w:val="off"/>
            </w:pPr>
            <w:r/>
            <w:r/>
          </w:p>
        </w:tc>
      </w:tr>
    </w:tbl>
    <w:p>
      <w:pPr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tblW w:w="9921" w:type="dxa"/>
        <w:tblInd w:w="-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64"/>
        <w:gridCol w:w="442"/>
        <w:gridCol w:w="1118"/>
        <w:gridCol w:w="765"/>
        <w:gridCol w:w="147"/>
        <w:gridCol w:w="505"/>
        <w:gridCol w:w="1418"/>
        <w:gridCol w:w="61"/>
        <w:gridCol w:w="425"/>
        <w:gridCol w:w="1073"/>
        <w:gridCol w:w="960"/>
        <w:gridCol w:w="144"/>
        <w:gridCol w:w="172"/>
        <w:gridCol w:w="928"/>
      </w:tblGrid>
      <w:tr>
        <w:tblPrEx/>
        <w:trPr/>
        <w:tc>
          <w:tcPr>
            <w:tcW w:w="176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Идентификатор муниципального контракта/контракта учреждения/договора (соглашения)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9"/>
            <w:tcW w:w="59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Реквизиты договора (соглашения)/контракта учреждения/контракта (договора)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отказа в открытии лицевого счета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2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Причина отказа в открытии лицевого счета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1764" w:type="dxa"/>
            <w:vMerge w:val="continue"/>
            <w:textDirection w:val="lrTb"/>
            <w:noWrap w:val="false"/>
          </w:tcPr>
          <w:p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56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297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контрагенте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83"/>
        </w:trPr>
        <w:tc>
          <w:tcPr>
            <w:tcW w:w="1764" w:type="dxa"/>
            <w:vMerge w:val="continue"/>
            <w:textDirection w:val="lrTb"/>
            <w:noWrap w:val="false"/>
          </w:tcPr>
          <w:p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2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6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64" w:type="dxa"/>
            <w:textDirection w:val="lrTb"/>
            <w:noWrap w:val="false"/>
          </w:tcPr>
          <w:p>
            <w:pPr>
              <w:widowControl w:val="off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widowControl w:val="off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gridSpan w:val="3"/>
            <w:tcW w:w="1417" w:type="dxa"/>
            <w:textDirection w:val="lrTb"/>
            <w:noWrap w:val="false"/>
          </w:tcPr>
          <w:p>
            <w:pPr>
              <w:widowControl w:val="off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textDirection w:val="lrTb"/>
            <w:noWrap w:val="false"/>
          </w:tcPr>
          <w:p>
            <w:pPr>
              <w:widowControl w:val="off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  <w:tc>
          <w:tcPr>
            <w:tcW w:w="928" w:type="dxa"/>
            <w:textDirection w:val="lrTb"/>
            <w:noWrap w:val="false"/>
          </w:tcPr>
          <w:p>
            <w:pPr>
              <w:widowControl w:val="off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6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widowControl w:val="off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(уполномоченное лицо)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83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33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0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6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(должность)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(подпись)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(расшифровка подписи)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0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6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Ответственный исполнитель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83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33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00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06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(должность)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(подпись)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5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3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(расшифровка подписи)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4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(телефон)</w: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</w:r>
          </w:p>
        </w:tc>
      </w:tr>
    </w:tbl>
    <w:p>
      <w:r/>
      <w:r/>
    </w:p>
    <w:sectPr>
      <w:headerReference w:type="first" r:id="rId11"/>
      <w:footnotePr/>
      <w:endnotePr/>
      <w:type w:val="nextPage"/>
      <w:pgSz w:w="11900" w:h="16820" w:orient="portrait"/>
      <w:pgMar w:top="567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rPr>
        <w:rStyle w:val="905"/>
      </w:rPr>
      <w:framePr w:wrap="around" w:vAnchor="text" w:hAnchor="margin" w:xAlign="center" w:y="1"/>
    </w:pPr>
    <w:r>
      <w:rPr>
        <w:rStyle w:val="905"/>
      </w:rPr>
      <w:fldChar w:fldCharType="begin"/>
    </w:r>
    <w:r>
      <w:rPr>
        <w:rStyle w:val="905"/>
      </w:rPr>
      <w:instrText xml:space="preserve">PAGE  </w:instrText>
    </w:r>
    <w:r>
      <w:rPr>
        <w:rStyle w:val="905"/>
      </w:rPr>
      <w:fldChar w:fldCharType="end"/>
    </w:r>
    <w:r>
      <w:rPr>
        <w:rStyle w:val="905"/>
      </w:rPr>
    </w:r>
    <w:r>
      <w:rPr>
        <w:rStyle w:val="905"/>
      </w:rPr>
    </w:r>
  </w:p>
  <w:p>
    <w:pPr>
      <w:pStyle w:val="90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2">
    <w:name w:val="Heading 1 Char"/>
    <w:basedOn w:val="898"/>
    <w:link w:val="896"/>
    <w:uiPriority w:val="9"/>
    <w:rPr>
      <w:rFonts w:ascii="Arial" w:hAnsi="Arial" w:eastAsia="Arial" w:cs="Arial"/>
      <w:sz w:val="40"/>
      <w:szCs w:val="40"/>
    </w:rPr>
  </w:style>
  <w:style w:type="character" w:styleId="723">
    <w:name w:val="Heading 2 Char"/>
    <w:basedOn w:val="898"/>
    <w:link w:val="897"/>
    <w:uiPriority w:val="9"/>
    <w:rPr>
      <w:rFonts w:ascii="Arial" w:hAnsi="Arial" w:eastAsia="Arial" w:cs="Arial"/>
      <w:sz w:val="34"/>
    </w:rPr>
  </w:style>
  <w:style w:type="paragraph" w:styleId="724">
    <w:name w:val="Heading 3"/>
    <w:basedOn w:val="895"/>
    <w:next w:val="895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5">
    <w:name w:val="Heading 3 Char"/>
    <w:basedOn w:val="898"/>
    <w:link w:val="724"/>
    <w:uiPriority w:val="9"/>
    <w:rPr>
      <w:rFonts w:ascii="Arial" w:hAnsi="Arial" w:eastAsia="Arial" w:cs="Arial"/>
      <w:sz w:val="30"/>
      <w:szCs w:val="30"/>
    </w:rPr>
  </w:style>
  <w:style w:type="paragraph" w:styleId="726">
    <w:name w:val="Heading 4"/>
    <w:basedOn w:val="895"/>
    <w:next w:val="895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4 Char"/>
    <w:basedOn w:val="898"/>
    <w:link w:val="726"/>
    <w:uiPriority w:val="9"/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5"/>
    <w:next w:val="895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basedOn w:val="898"/>
    <w:link w:val="728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5"/>
    <w:next w:val="895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98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5"/>
    <w:next w:val="895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98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5"/>
    <w:next w:val="895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98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5"/>
    <w:next w:val="895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98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895"/>
    <w:uiPriority w:val="34"/>
    <w:qFormat/>
    <w:pPr>
      <w:contextualSpacing/>
      <w:ind w:left="720"/>
    </w:pPr>
  </w:style>
  <w:style w:type="paragraph" w:styleId="739">
    <w:name w:val="No Spacing"/>
    <w:uiPriority w:val="1"/>
    <w:qFormat/>
    <w:pPr>
      <w:spacing w:before="0" w:after="0" w:line="240" w:lineRule="auto"/>
    </w:pPr>
  </w:style>
  <w:style w:type="paragraph" w:styleId="740">
    <w:name w:val="Title"/>
    <w:basedOn w:val="895"/>
    <w:next w:val="895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8"/>
    <w:link w:val="740"/>
    <w:uiPriority w:val="10"/>
    <w:rPr>
      <w:sz w:val="48"/>
      <w:szCs w:val="48"/>
    </w:rPr>
  </w:style>
  <w:style w:type="paragraph" w:styleId="742">
    <w:name w:val="Subtitle"/>
    <w:basedOn w:val="895"/>
    <w:next w:val="895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8"/>
    <w:link w:val="742"/>
    <w:uiPriority w:val="11"/>
    <w:rPr>
      <w:sz w:val="24"/>
      <w:szCs w:val="24"/>
    </w:rPr>
  </w:style>
  <w:style w:type="paragraph" w:styleId="744">
    <w:name w:val="Quote"/>
    <w:basedOn w:val="895"/>
    <w:next w:val="895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5"/>
    <w:next w:val="895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8"/>
    <w:link w:val="906"/>
    <w:uiPriority w:val="99"/>
  </w:style>
  <w:style w:type="character" w:styleId="749">
    <w:name w:val="Footer Char"/>
    <w:basedOn w:val="898"/>
    <w:link w:val="904"/>
    <w:uiPriority w:val="99"/>
  </w:style>
  <w:style w:type="character" w:styleId="750">
    <w:name w:val="Caption Char"/>
    <w:basedOn w:val="901"/>
    <w:link w:val="904"/>
    <w:uiPriority w:val="99"/>
  </w:style>
  <w:style w:type="table" w:styleId="751">
    <w:name w:val="Table Grid"/>
    <w:basedOn w:val="8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Table Grid Light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1">
    <w:name w:val="List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2">
    <w:name w:val="List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3">
    <w:name w:val="List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4">
    <w:name w:val="List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5">
    <w:name w:val="List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6">
    <w:name w:val="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 &amp; 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Bordered &amp; 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Bordered &amp; 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Bordered &amp; 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Bordered &amp; 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Bordered &amp; 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7">
    <w:name w:val="Hyperlink"/>
    <w:uiPriority w:val="99"/>
    <w:unhideWhenUsed/>
    <w:rPr>
      <w:color w:val="0000ff" w:themeColor="hyperlink"/>
      <w:u w:val="single"/>
    </w:r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8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8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</w:style>
  <w:style w:type="paragraph" w:styleId="896">
    <w:name w:val="Heading 1"/>
    <w:basedOn w:val="895"/>
    <w:next w:val="895"/>
    <w:qFormat/>
    <w:pPr>
      <w:ind w:right="-1" w:firstLine="709"/>
      <w:jc w:val="both"/>
      <w:keepNext/>
      <w:outlineLvl w:val="0"/>
    </w:pPr>
    <w:rPr>
      <w:sz w:val="24"/>
    </w:rPr>
  </w:style>
  <w:style w:type="paragraph" w:styleId="897">
    <w:name w:val="Heading 2"/>
    <w:basedOn w:val="895"/>
    <w:next w:val="895"/>
    <w:qFormat/>
    <w:pPr>
      <w:ind w:right="-1"/>
      <w:jc w:val="both"/>
      <w:keepNext/>
      <w:outlineLvl w:val="1"/>
    </w:pPr>
    <w:rPr>
      <w:sz w:val="24"/>
    </w:rPr>
  </w:style>
  <w:style w:type="character" w:styleId="898" w:default="1">
    <w:name w:val="Default Paragraph Font"/>
    <w:uiPriority w:val="1"/>
    <w:semiHidden/>
    <w:unhideWhenUsed/>
  </w:style>
  <w:style w:type="table" w:styleId="8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0" w:default="1">
    <w:name w:val="No List"/>
    <w:uiPriority w:val="99"/>
    <w:semiHidden/>
    <w:unhideWhenUsed/>
  </w:style>
  <w:style w:type="paragraph" w:styleId="901">
    <w:name w:val="Caption"/>
    <w:basedOn w:val="895"/>
    <w:next w:val="895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2">
    <w:name w:val="Body Text"/>
    <w:basedOn w:val="895"/>
    <w:pPr>
      <w:ind w:right="3117"/>
    </w:pPr>
    <w:rPr>
      <w:rFonts w:ascii="Courier New" w:hAnsi="Courier New"/>
      <w:sz w:val="26"/>
    </w:rPr>
  </w:style>
  <w:style w:type="paragraph" w:styleId="903">
    <w:name w:val="Body Text Indent"/>
    <w:basedOn w:val="895"/>
    <w:pPr>
      <w:ind w:right="-1"/>
      <w:jc w:val="both"/>
    </w:pPr>
    <w:rPr>
      <w:sz w:val="26"/>
    </w:rPr>
  </w:style>
  <w:style w:type="paragraph" w:styleId="904">
    <w:name w:val="Footer"/>
    <w:basedOn w:val="895"/>
    <w:pPr>
      <w:tabs>
        <w:tab w:val="center" w:pos="4153" w:leader="none"/>
        <w:tab w:val="right" w:pos="8306" w:leader="none"/>
      </w:tabs>
    </w:pPr>
  </w:style>
  <w:style w:type="character" w:styleId="905">
    <w:name w:val="page number"/>
    <w:basedOn w:val="898"/>
  </w:style>
  <w:style w:type="paragraph" w:styleId="906">
    <w:name w:val="Header"/>
    <w:basedOn w:val="895"/>
    <w:pPr>
      <w:tabs>
        <w:tab w:val="center" w:pos="4153" w:leader="none"/>
        <w:tab w:val="right" w:pos="8306" w:leader="none"/>
      </w:tabs>
    </w:pPr>
  </w:style>
  <w:style w:type="paragraph" w:styleId="907">
    <w:name w:val="Balloon Text"/>
    <w:basedOn w:val="895"/>
    <w:link w:val="908"/>
    <w:rPr>
      <w:rFonts w:ascii="Segoe UI" w:hAnsi="Segoe UI" w:cs="Segoe UI"/>
      <w:sz w:val="18"/>
      <w:szCs w:val="18"/>
    </w:rPr>
  </w:style>
  <w:style w:type="character" w:styleId="908" w:customStyle="1">
    <w:name w:val="Текст выноски Знак"/>
    <w:link w:val="907"/>
    <w:rPr>
      <w:rFonts w:ascii="Segoe UI" w:hAnsi="Segoe UI" w:cs="Segoe UI"/>
      <w:sz w:val="18"/>
      <w:szCs w:val="18"/>
    </w:rPr>
  </w:style>
  <w:style w:type="paragraph" w:styleId="909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Ялчынтюрк Ольга Владимировна</dc:creator>
  <cp:keywords/>
  <cp:lastModifiedBy>fedoseeva-nk</cp:lastModifiedBy>
  <cp:revision>22</cp:revision>
  <dcterms:created xsi:type="dcterms:W3CDTF">2024-10-25T09:38:00Z</dcterms:created>
  <dcterms:modified xsi:type="dcterms:W3CDTF">2026-08-18T05:58:24Z</dcterms:modified>
</cp:coreProperties>
</file>