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73"/>
        <w:ind w:right="0"/>
        <w:jc w:val="both"/>
        <w:rPr>
          <w:rFonts w:ascii="Times New Roman" w:hAnsi="Times New Roman"/>
          <w:sz w:val="24"/>
        </w:rPr>
      </w:pP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-521969</wp:posOffset>
                </wp:positionV>
                <wp:extent cx="407035" cy="495300"/>
                <wp:effectExtent l="0" t="0" r="0" b="0"/>
                <wp:wrapNone/>
                <wp:docPr id="1" name="_x0000_s307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1;o:allowoverlap:true;o:allowincell:true;mso-position-horizontal-relative:text;margin-left:232.35pt;mso-position-horizontal:absolute;mso-position-vertical-relative:text;margin-top:-41.10pt;mso-position-vertical:absolute;width:32.05pt;height:39.00pt;mso-wrap-distance-left:9.00pt;mso-wrap-distance-top:0.00pt;mso-wrap-distance-right:9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-521969</wp:posOffset>
                </wp:positionV>
                <wp:extent cx="6285865" cy="1661795"/>
                <wp:effectExtent l="0" t="0" r="0" b="0"/>
                <wp:wrapNone/>
                <wp:docPr id="2" name="_x0000_s30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30" y="657"/>
                          <a:chExt cx="9899" cy="2617"/>
                        </a:xfrm>
                      </wpg:grpSpPr>
                      <wps:wsp>
                        <wps:cNvPr id="0" name=""/>
                        <wps:cNvSpPr txBox="1"/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977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977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977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972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966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966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>
                              <w:pPr>
                                <w:pStyle w:val="968"/>
                                <w:jc w:val="center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lIns="36000" tIns="36000" rIns="36000" bIns="36000" upright="1"/>
                      </wps:wsp>
                      <wps:wsp>
                        <wps:cNvPr id="1" name=""/>
                        <wps:cNvSpPr txBox="1"/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966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25.08.2026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pPr>
                                <w:pStyle w:val="966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" name=""/>
                        <wps:cNvSpPr txBox="1"/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966"/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503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pPr>
                                <w:pStyle w:val="966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524288;o:allowoverlap:true;o:allowincell:true;mso-position-horizontal-relative:text;margin-left:0.60pt;mso-position-horizontal:absolute;mso-position-vertical-relative:text;margin-top:-41.10pt;mso-position-vertical:absolute;width:494.95pt;height:130.85pt;mso-wrap-distance-left:9.00pt;mso-wrap-distance-top:0.00pt;mso-wrap-distance-right:9.00pt;mso-wrap-distance-bottom:0.00pt;" coordorigin="14,6" coordsize="98,26">
                <v:shape id="shape 2" o:spid="_x0000_s2" o:spt="202" type="#_x0000_t202" style="position:absolute;left:14;top:6;width:98;height:26;visibility:visible;" fillcolor="#FFFFFF" stroked="f">
                  <v:textbox inset="0,0,0,0">
                    <w:txbxContent>
                      <w:p>
                        <w:pPr>
                          <w:pStyle w:val="977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977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977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972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966"/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966"/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>
                        <w:pPr>
                          <w:pStyle w:val="968"/>
                          <w:jc w:val="center"/>
                        </w:pPr>
                        <w:r/>
                        <w:r/>
                      </w:p>
                    </w:txbxContent>
                  </v:textbox>
                </v:shape>
                <v:shape id="shape 3" o:spid="_x0000_s3" o:spt="202" type="#_x0000_t202" style="position:absolute;left:18;top:27;width:24;height:4;visibility:visible;" filled="f" stroked="f">
                  <v:textbox inset="0,0,0,0">
                    <w:txbxContent>
                      <w:p>
                        <w:pPr>
                          <w:pStyle w:val="966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25.08.2026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pPr>
                          <w:pStyle w:val="966"/>
                        </w:pPr>
                        <w:r/>
                        <w:r/>
                      </w:p>
                    </w:txbxContent>
                  </v:textbox>
                </v:shape>
                <v:shape id="shape 4" o:spid="_x0000_s4" o:spt="202" type="#_x0000_t202" style="position:absolute;left:92;top:27;width:17;height:4;visibility:visible;" fillcolor="#FFFFFF" stroked="f">
                  <v:textbox inset="0,0,0,0">
                    <w:txbxContent>
                      <w:p>
                        <w:pPr>
                          <w:pStyle w:val="966"/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503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pPr>
                          <w:pStyle w:val="966"/>
                        </w:pPr>
                        <w:r/>
                        <w:r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  <w:t xml:space="preserve">0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73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73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66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966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966"/>
        <w:ind w:right="5387"/>
        <w:jc w:val="both"/>
        <w:spacing w:line="240" w:lineRule="exact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966"/>
        <w:ind w:right="5387"/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6"/>
        <w:ind w:right="5387"/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5387"/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6"/>
        <w:ind w:right="5387"/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6"/>
        <w:ind w:right="0"/>
        <w:jc w:val="center"/>
        <w:spacing w:line="240" w:lineRule="exact"/>
        <w:rPr>
          <w:b/>
          <w:bCs/>
          <w:sz w:val="28"/>
          <w:szCs w:val="28"/>
        </w:rPr>
        <w:suppressLineNumbers w:val="0"/>
      </w:pPr>
      <w:r>
        <w:rPr>
          <w:b/>
          <w:sz w:val="28"/>
          <w:szCs w:val="28"/>
        </w:rPr>
        <w:t xml:space="preserve">Об утверждении графика и режима работы стационарных установок освещения</w:t>
      </w:r>
      <w:r>
        <w:rPr>
          <w:b/>
          <w:sz w:val="28"/>
          <w:szCs w:val="28"/>
        </w:rPr>
        <w:t xml:space="preserve">,</w:t>
      </w:r>
      <w:r>
        <w:rPr>
          <w:b/>
          <w:sz w:val="28"/>
          <w:szCs w:val="28"/>
        </w:rPr>
        <w:t xml:space="preserve"> архитектурной подсветки </w:t>
      </w:r>
      <w:r>
        <w:rPr>
          <w:b/>
          <w:sz w:val="28"/>
          <w:szCs w:val="28"/>
        </w:rPr>
        <w:t xml:space="preserve">и праздничной иллюминации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right="0"/>
        <w:jc w:val="center"/>
        <w:spacing w:line="240" w:lineRule="exact"/>
        <w:rPr>
          <w:b/>
          <w:bCs/>
          <w:sz w:val="28"/>
          <w:szCs w:val="28"/>
        </w:rPr>
        <w:suppressLineNumbers w:val="0"/>
      </w:pPr>
      <w:r>
        <w:rPr>
          <w:b/>
          <w:sz w:val="28"/>
          <w:szCs w:val="28"/>
        </w:rPr>
        <w:t xml:space="preserve">на территории города Перми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66"/>
        <w:ind w:right="5387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6"/>
        <w:ind w:right="5387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6"/>
        <w:ind w:right="5387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pacing w:val="-2"/>
          <w:sz w:val="28"/>
          <w:szCs w:val="28"/>
        </w:rPr>
      </w:r>
      <w:r>
        <w:rPr>
          <w:spacing w:val="-2"/>
          <w:sz w:val="28"/>
          <w:szCs w:val="28"/>
        </w:rPr>
        <w:t xml:space="preserve">В соответствии с ф</w:t>
      </w:r>
      <w:r>
        <w:rPr>
          <w:rFonts w:ascii="Times New Roman" w:hAnsi="Times New Roman" w:cs="Times New Roman"/>
          <w:sz w:val="28"/>
          <w:szCs w:val="28"/>
        </w:rPr>
        <w:t xml:space="preserve">едеральными законами от 06 октября 2003 г. № 131-ФЗ </w:t>
        <w:br/>
        <w:t xml:space="preserve">«Об общих принципах организации местного самоуправления в Российской Федерации», </w:t>
      </w:r>
      <w:r>
        <w:rPr>
          <w:spacing w:val="-2"/>
          <w:sz w:val="28"/>
          <w:szCs w:val="28"/>
        </w:rPr>
        <w:t xml:space="preserve">от 20</w:t>
      </w:r>
      <w:r>
        <w:rPr>
          <w:spacing w:val="-2"/>
          <w:sz w:val="28"/>
          <w:szCs w:val="28"/>
        </w:rPr>
        <w:t xml:space="preserve"> марта 2025 г. № 33-ФЗ </w:t>
      </w:r>
      <w:r>
        <w:rPr>
          <w:spacing w:val="-2"/>
          <w:sz w:val="28"/>
          <w:szCs w:val="28"/>
        </w:rPr>
        <w:t xml:space="preserve">«Об общих принципах организации местного самоуправления в единой системе публичной власти</w:t>
      </w:r>
      <w:r>
        <w:rPr>
          <w:spacing w:val="-2"/>
          <w:sz w:val="28"/>
          <w:szCs w:val="28"/>
        </w:rPr>
        <w:t xml:space="preserve">», </w:t>
      </w:r>
      <w:r>
        <w:rPr>
          <w:spacing w:val="-2"/>
          <w:sz w:val="28"/>
          <w:szCs w:val="28"/>
        </w:rPr>
        <w:t xml:space="preserve">Уставом</w:t>
      </w:r>
      <w:r>
        <w:rPr>
          <w:spacing w:val="-2"/>
          <w:sz w:val="28"/>
          <w:szCs w:val="28"/>
        </w:rPr>
        <w:t xml:space="preserve"> города Перми, </w:t>
      </w:r>
      <w:r>
        <w:rPr>
          <w:spacing w:val="-2"/>
          <w:sz w:val="28"/>
          <w:szCs w:val="28"/>
        </w:rPr>
        <w:t xml:space="preserve">П</w:t>
      </w:r>
      <w:r>
        <w:rPr>
          <w:spacing w:val="-2"/>
          <w:sz w:val="28"/>
          <w:szCs w:val="28"/>
        </w:rPr>
        <w:t xml:space="preserve">оложением о департаменте дорог и благоустро</w:t>
      </w:r>
      <w:r>
        <w:rPr>
          <w:spacing w:val="-2"/>
          <w:sz w:val="28"/>
          <w:szCs w:val="28"/>
        </w:rPr>
        <w:t xml:space="preserve">й</w:t>
      </w:r>
      <w:r>
        <w:rPr>
          <w:spacing w:val="-2"/>
          <w:sz w:val="28"/>
          <w:szCs w:val="28"/>
        </w:rPr>
        <w:t xml:space="preserve">ства администрации города Перми</w:t>
      </w:r>
      <w:r>
        <w:rPr>
          <w:spacing w:val="-2"/>
          <w:sz w:val="28"/>
          <w:szCs w:val="28"/>
        </w:rPr>
        <w:t xml:space="preserve">,</w:t>
      </w:r>
      <w:r>
        <w:rPr>
          <w:spacing w:val="-2"/>
          <w:sz w:val="28"/>
          <w:szCs w:val="28"/>
        </w:rPr>
        <w:t xml:space="preserve"> утвержденн</w:t>
      </w:r>
      <w:r>
        <w:rPr>
          <w:spacing w:val="-2"/>
          <w:sz w:val="28"/>
          <w:szCs w:val="28"/>
        </w:rPr>
        <w:t xml:space="preserve">ы</w:t>
      </w:r>
      <w:r>
        <w:rPr>
          <w:spacing w:val="-2"/>
          <w:sz w:val="28"/>
          <w:szCs w:val="28"/>
        </w:rPr>
        <w:t xml:space="preserve">м</w:t>
      </w:r>
      <w:r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решени</w:t>
      </w:r>
      <w:r>
        <w:rPr>
          <w:spacing w:val="-2"/>
          <w:sz w:val="28"/>
          <w:szCs w:val="28"/>
        </w:rPr>
        <w:t xml:space="preserve">ем</w:t>
      </w:r>
      <w:r>
        <w:rPr>
          <w:spacing w:val="-2"/>
          <w:sz w:val="28"/>
          <w:szCs w:val="28"/>
        </w:rPr>
        <w:t xml:space="preserve"> Пермской городской Ду</w:t>
      </w:r>
      <w:r>
        <w:rPr>
          <w:spacing w:val="-2"/>
          <w:sz w:val="28"/>
          <w:szCs w:val="28"/>
        </w:rPr>
        <w:t xml:space="preserve">мы от 25 июня </w:t>
      </w:r>
      <w:r>
        <w:rPr>
          <w:spacing w:val="-2"/>
          <w:sz w:val="28"/>
          <w:szCs w:val="28"/>
        </w:rPr>
        <w:t xml:space="preserve">2019 </w:t>
      </w:r>
      <w:r>
        <w:rPr>
          <w:spacing w:val="-2"/>
          <w:sz w:val="28"/>
          <w:szCs w:val="28"/>
        </w:rPr>
        <w:t xml:space="preserve">г. </w:t>
      </w:r>
      <w:r>
        <w:rPr>
          <w:spacing w:val="-2"/>
          <w:sz w:val="28"/>
          <w:szCs w:val="28"/>
        </w:rPr>
        <w:t xml:space="preserve">№</w:t>
      </w:r>
      <w:r>
        <w:rPr>
          <w:spacing w:val="-2"/>
          <w:sz w:val="28"/>
          <w:szCs w:val="28"/>
        </w:rPr>
        <w:t xml:space="preserve"> 141</w:t>
      </w:r>
      <w:r>
        <w:rPr>
          <w:spacing w:val="-2"/>
          <w:sz w:val="28"/>
          <w:szCs w:val="28"/>
        </w:rPr>
        <w:t xml:space="preserve">,</w:t>
      </w:r>
      <w:r/>
    </w:p>
    <w:p>
      <w:pPr>
        <w:pStyle w:val="9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страция города Перми </w:t>
      </w:r>
      <w:r>
        <w:rPr>
          <w:sz w:val="28"/>
          <w:szCs w:val="28"/>
        </w:rPr>
        <w:t xml:space="preserve">ПОСТАНОВЛЯЕТ: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6"/>
        <w:ind w:firstLine="72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1. Утвердить </w:t>
      </w:r>
      <w:r>
        <w:rPr>
          <w:spacing w:val="-2"/>
          <w:sz w:val="28"/>
          <w:szCs w:val="28"/>
        </w:rPr>
        <w:t xml:space="preserve">прилагаемые:</w:t>
      </w:r>
      <w:r>
        <w:rPr>
          <w:spacing w:val="-2"/>
          <w:sz w:val="28"/>
          <w:szCs w:val="28"/>
        </w:rPr>
      </w:r>
      <w:r>
        <w:rPr>
          <w:spacing w:val="-2"/>
          <w:sz w:val="28"/>
          <w:szCs w:val="28"/>
        </w:rPr>
      </w:r>
    </w:p>
    <w:p>
      <w:pPr>
        <w:ind w:firstLine="720"/>
        <w:jc w:val="both"/>
        <w:rPr>
          <w:spacing w:val="-2"/>
          <w:sz w:val="28"/>
          <w:szCs w:val="28"/>
          <w:highlight w:val="none"/>
        </w:rPr>
      </w:pPr>
      <w:r>
        <w:rPr>
          <w:spacing w:val="-2"/>
          <w:sz w:val="28"/>
          <w:szCs w:val="28"/>
        </w:rPr>
        <w:t xml:space="preserve">1.1. график</w:t>
      </w:r>
      <w:r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работы стационарных установок освещения, арх</w:t>
      </w:r>
      <w:r>
        <w:rPr>
          <w:spacing w:val="-2"/>
          <w:sz w:val="28"/>
          <w:szCs w:val="28"/>
        </w:rPr>
        <w:t xml:space="preserve">и</w:t>
      </w:r>
      <w:r>
        <w:rPr>
          <w:spacing w:val="-2"/>
          <w:sz w:val="28"/>
          <w:szCs w:val="28"/>
        </w:rPr>
        <w:t xml:space="preserve">тектурной подсветки и праздничной иллюминации на территории </w:t>
      </w:r>
      <w:r>
        <w:rPr>
          <w:spacing w:val="-2"/>
          <w:sz w:val="28"/>
          <w:szCs w:val="28"/>
        </w:rPr>
        <w:t xml:space="preserve">г</w:t>
      </w:r>
      <w:r>
        <w:rPr>
          <w:spacing w:val="-2"/>
          <w:sz w:val="28"/>
          <w:szCs w:val="28"/>
        </w:rPr>
        <w:t xml:space="preserve">о</w:t>
      </w:r>
      <w:r>
        <w:rPr>
          <w:spacing w:val="-2"/>
          <w:sz w:val="28"/>
          <w:szCs w:val="28"/>
        </w:rPr>
        <w:t xml:space="preserve">рода </w:t>
      </w:r>
      <w:r>
        <w:rPr>
          <w:spacing w:val="-2"/>
          <w:sz w:val="28"/>
          <w:szCs w:val="28"/>
        </w:rPr>
        <w:t xml:space="preserve">Перми</w:t>
      </w:r>
      <w:r>
        <w:rPr>
          <w:spacing w:val="-2"/>
          <w:sz w:val="28"/>
          <w:szCs w:val="28"/>
        </w:rPr>
        <w:t xml:space="preserve"> (далее – График);</w:t>
      </w:r>
      <w:r>
        <w:rPr>
          <w:spacing w:val="-2"/>
          <w:sz w:val="28"/>
          <w:szCs w:val="28"/>
          <w:highlight w:val="none"/>
        </w:rPr>
      </w:r>
      <w:r>
        <w:rPr>
          <w:spacing w:val="-2"/>
          <w:sz w:val="28"/>
          <w:szCs w:val="28"/>
          <w:highlight w:val="none"/>
        </w:rPr>
      </w:r>
    </w:p>
    <w:p>
      <w:pPr>
        <w:ind w:firstLine="72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  <w:highlight w:val="none"/>
        </w:rPr>
        <w:t xml:space="preserve">1.2. режим</w:t>
      </w:r>
      <w:r>
        <w:rPr>
          <w:spacing w:val="-2"/>
          <w:sz w:val="28"/>
          <w:szCs w:val="28"/>
        </w:rPr>
        <w:t xml:space="preserve"> работы стационарных установок освещения, арх</w:t>
      </w:r>
      <w:r>
        <w:rPr>
          <w:spacing w:val="-2"/>
          <w:sz w:val="28"/>
          <w:szCs w:val="28"/>
        </w:rPr>
        <w:t xml:space="preserve">и</w:t>
      </w:r>
      <w:r>
        <w:rPr>
          <w:spacing w:val="-2"/>
          <w:sz w:val="28"/>
          <w:szCs w:val="28"/>
        </w:rPr>
        <w:t xml:space="preserve">тектурной подсветки и праздничной иллюминации </w:t>
      </w:r>
      <w:r>
        <w:rPr>
          <w:spacing w:val="-2"/>
          <w:sz w:val="28"/>
          <w:szCs w:val="28"/>
        </w:rPr>
        <w:t xml:space="preserve">на </w:t>
      </w:r>
      <w:r>
        <w:rPr>
          <w:spacing w:val="-2"/>
          <w:sz w:val="28"/>
          <w:szCs w:val="28"/>
        </w:rPr>
        <w:t xml:space="preserve">территории г</w:t>
      </w:r>
      <w:r>
        <w:rPr>
          <w:spacing w:val="-2"/>
          <w:sz w:val="28"/>
          <w:szCs w:val="28"/>
        </w:rPr>
        <w:t xml:space="preserve">о</w:t>
      </w:r>
      <w:r>
        <w:rPr>
          <w:spacing w:val="-2"/>
          <w:sz w:val="28"/>
          <w:szCs w:val="28"/>
        </w:rPr>
        <w:t xml:space="preserve">рода </w:t>
      </w:r>
      <w:r>
        <w:rPr>
          <w:spacing w:val="-2"/>
          <w:sz w:val="28"/>
          <w:szCs w:val="28"/>
        </w:rPr>
        <w:t xml:space="preserve">Перми (далее – Режим)</w:t>
      </w:r>
      <w:r>
        <w:rPr>
          <w:spacing w:val="-2"/>
          <w:sz w:val="28"/>
          <w:szCs w:val="28"/>
        </w:rPr>
        <w:t xml:space="preserve">.</w:t>
      </w:r>
      <w:r>
        <w:rPr>
          <w:spacing w:val="-2"/>
          <w:sz w:val="28"/>
          <w:szCs w:val="28"/>
        </w:rPr>
      </w:r>
      <w:r>
        <w:rPr>
          <w:spacing w:val="-2"/>
          <w:sz w:val="28"/>
          <w:szCs w:val="28"/>
        </w:rPr>
      </w:r>
    </w:p>
    <w:p>
      <w:pPr>
        <w:pStyle w:val="966"/>
        <w:ind w:firstLine="720"/>
        <w:jc w:val="both"/>
        <w:rPr>
          <w:b/>
          <w:sz w:val="28"/>
          <w:szCs w:val="28"/>
        </w:rPr>
      </w:pPr>
      <w:r>
        <w:rPr>
          <w:spacing w:val="-2"/>
          <w:sz w:val="28"/>
          <w:szCs w:val="28"/>
        </w:rPr>
        <w:t xml:space="preserve">2. Признать утратившим</w:t>
      </w:r>
      <w:r>
        <w:rPr>
          <w:spacing w:val="-2"/>
          <w:sz w:val="28"/>
          <w:szCs w:val="28"/>
        </w:rPr>
        <w:t xml:space="preserve">и</w:t>
      </w:r>
      <w:r>
        <w:rPr>
          <w:spacing w:val="-2"/>
          <w:sz w:val="28"/>
          <w:szCs w:val="28"/>
        </w:rPr>
        <w:t xml:space="preserve"> силу постановлени</w:t>
      </w:r>
      <w:r>
        <w:rPr>
          <w:spacing w:val="-2"/>
          <w:sz w:val="28"/>
          <w:szCs w:val="28"/>
        </w:rPr>
        <w:t xml:space="preserve">я</w:t>
      </w:r>
      <w:r>
        <w:rPr>
          <w:spacing w:val="-2"/>
          <w:sz w:val="28"/>
          <w:szCs w:val="28"/>
        </w:rPr>
        <w:t xml:space="preserve"> администрации города Перми</w:t>
      </w:r>
      <w:r>
        <w:rPr>
          <w:spacing w:val="-2"/>
          <w:sz w:val="28"/>
          <w:szCs w:val="28"/>
        </w:rPr>
        <w:t xml:space="preserve">: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66"/>
        <w:ind w:firstLine="720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0</w:t>
      </w: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200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1290</w:t>
      </w:r>
      <w:r>
        <w:rPr>
          <w:sz w:val="28"/>
          <w:szCs w:val="28"/>
        </w:rPr>
        <w:t xml:space="preserve"> «Об утверждении </w:t>
      </w:r>
      <w:r>
        <w:rPr>
          <w:sz w:val="28"/>
          <w:szCs w:val="28"/>
        </w:rPr>
        <w:t xml:space="preserve">графика </w:t>
      </w:r>
      <w:r>
        <w:rPr>
          <w:sz w:val="28"/>
          <w:szCs w:val="28"/>
        </w:rPr>
        <w:t xml:space="preserve">работы сетей наружн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го освещения территории города Перми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;</w:t>
      </w:r>
      <w:r>
        <w:rPr>
          <w:spacing w:val="-2"/>
          <w:sz w:val="28"/>
          <w:szCs w:val="28"/>
        </w:rPr>
      </w:r>
      <w:r>
        <w:rPr>
          <w:spacing w:val="-2"/>
          <w:sz w:val="28"/>
          <w:szCs w:val="28"/>
        </w:rPr>
      </w:r>
    </w:p>
    <w:p>
      <w:pPr>
        <w:pStyle w:val="966"/>
        <w:ind w:firstLine="72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от </w:t>
      </w:r>
      <w:r>
        <w:rPr>
          <w:spacing w:val="-2"/>
          <w:sz w:val="28"/>
          <w:szCs w:val="28"/>
        </w:rPr>
        <w:t xml:space="preserve">30</w:t>
      </w:r>
      <w:r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марта 2012 г. № 131</w:t>
      </w:r>
      <w:r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«</w:t>
      </w:r>
      <w:r>
        <w:rPr>
          <w:spacing w:val="-2"/>
          <w:sz w:val="28"/>
          <w:szCs w:val="28"/>
        </w:rPr>
        <w:t xml:space="preserve">О внесении изменений в п</w:t>
      </w:r>
      <w:r>
        <w:rPr>
          <w:spacing w:val="-2"/>
          <w:sz w:val="28"/>
          <w:szCs w:val="28"/>
        </w:rPr>
        <w:t xml:space="preserve">остановление админ</w:t>
      </w:r>
      <w:r>
        <w:rPr>
          <w:spacing w:val="-2"/>
          <w:sz w:val="28"/>
          <w:szCs w:val="28"/>
        </w:rPr>
        <w:t xml:space="preserve">и</w:t>
      </w:r>
      <w:r>
        <w:rPr>
          <w:spacing w:val="-2"/>
          <w:sz w:val="28"/>
          <w:szCs w:val="28"/>
        </w:rPr>
        <w:t xml:space="preserve">стра</w:t>
      </w:r>
      <w:r>
        <w:rPr>
          <w:spacing w:val="-2"/>
          <w:sz w:val="28"/>
          <w:szCs w:val="28"/>
        </w:rPr>
        <w:t xml:space="preserve">ции города</w:t>
      </w:r>
      <w:r>
        <w:rPr>
          <w:spacing w:val="-2"/>
          <w:sz w:val="28"/>
          <w:szCs w:val="28"/>
        </w:rPr>
        <w:t xml:space="preserve"> Перми</w:t>
      </w:r>
      <w:r>
        <w:rPr>
          <w:spacing w:val="-2"/>
          <w:sz w:val="28"/>
          <w:szCs w:val="28"/>
        </w:rPr>
        <w:t xml:space="preserve"> от </w:t>
      </w:r>
      <w:r>
        <w:rPr>
          <w:spacing w:val="-2"/>
          <w:sz w:val="28"/>
          <w:szCs w:val="28"/>
        </w:rPr>
        <w:t xml:space="preserve">07</w:t>
      </w:r>
      <w:r>
        <w:rPr>
          <w:spacing w:val="-2"/>
          <w:sz w:val="28"/>
          <w:szCs w:val="28"/>
        </w:rPr>
        <w:t xml:space="preserve">.0</w:t>
      </w:r>
      <w:r>
        <w:rPr>
          <w:spacing w:val="-2"/>
          <w:sz w:val="28"/>
          <w:szCs w:val="28"/>
        </w:rPr>
        <w:t xml:space="preserve">5</w:t>
      </w:r>
      <w:r>
        <w:rPr>
          <w:spacing w:val="-2"/>
          <w:sz w:val="28"/>
          <w:szCs w:val="28"/>
        </w:rPr>
        <w:t xml:space="preserve">.200</w:t>
      </w:r>
      <w:r>
        <w:rPr>
          <w:spacing w:val="-2"/>
          <w:sz w:val="28"/>
          <w:szCs w:val="28"/>
        </w:rPr>
        <w:t xml:space="preserve">4</w:t>
      </w:r>
      <w:r>
        <w:rPr>
          <w:spacing w:val="-2"/>
          <w:sz w:val="28"/>
          <w:szCs w:val="28"/>
        </w:rPr>
        <w:t xml:space="preserve"> №</w:t>
      </w:r>
      <w:r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1290</w:t>
      </w:r>
      <w:r>
        <w:rPr>
          <w:spacing w:val="-2"/>
          <w:sz w:val="28"/>
          <w:szCs w:val="28"/>
        </w:rPr>
        <w:t xml:space="preserve"> «Об утверждении</w:t>
      </w:r>
      <w:r>
        <w:rPr>
          <w:spacing w:val="-2"/>
          <w:sz w:val="28"/>
          <w:szCs w:val="28"/>
        </w:rPr>
        <w:t xml:space="preserve"> графика работы с</w:t>
      </w:r>
      <w:r>
        <w:rPr>
          <w:spacing w:val="-2"/>
          <w:sz w:val="28"/>
          <w:szCs w:val="28"/>
        </w:rPr>
        <w:t xml:space="preserve">е</w:t>
      </w:r>
      <w:r>
        <w:rPr>
          <w:spacing w:val="-2"/>
          <w:sz w:val="28"/>
          <w:szCs w:val="28"/>
        </w:rPr>
        <w:t xml:space="preserve">тей наружного освещения территории города Перми</w:t>
      </w:r>
      <w:r>
        <w:rPr>
          <w:spacing w:val="-2"/>
          <w:sz w:val="28"/>
          <w:szCs w:val="28"/>
        </w:rPr>
        <w:t xml:space="preserve">»</w:t>
      </w:r>
      <w:r>
        <w:rPr>
          <w:spacing w:val="-2"/>
          <w:sz w:val="28"/>
          <w:szCs w:val="28"/>
        </w:rPr>
        <w:t xml:space="preserve">;</w:t>
      </w:r>
      <w:r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</w:r>
      <w:r>
        <w:rPr>
          <w:spacing w:val="-2"/>
          <w:sz w:val="28"/>
          <w:szCs w:val="28"/>
        </w:rPr>
      </w:r>
    </w:p>
    <w:p>
      <w:pPr>
        <w:ind w:firstLine="720"/>
        <w:jc w:val="both"/>
        <w:rPr>
          <w:spacing w:val="-2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pacing w:val="-2"/>
          <w:sz w:val="28"/>
          <w:szCs w:val="28"/>
        </w:rPr>
        <w:t xml:space="preserve">от </w:t>
      </w:r>
      <w:r>
        <w:rPr>
          <w:spacing w:val="-2"/>
          <w:sz w:val="28"/>
          <w:szCs w:val="28"/>
        </w:rPr>
        <w:t xml:space="preserve">12</w:t>
      </w:r>
      <w:r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декабря 2014</w:t>
      </w:r>
      <w:r>
        <w:rPr>
          <w:spacing w:val="-2"/>
          <w:sz w:val="28"/>
          <w:szCs w:val="28"/>
        </w:rPr>
        <w:t xml:space="preserve"> г.</w:t>
      </w:r>
      <w:r>
        <w:rPr>
          <w:spacing w:val="-2"/>
          <w:sz w:val="28"/>
          <w:szCs w:val="28"/>
        </w:rPr>
        <w:t xml:space="preserve"> № </w:t>
      </w:r>
      <w:r>
        <w:rPr>
          <w:spacing w:val="-2"/>
          <w:sz w:val="28"/>
          <w:szCs w:val="28"/>
        </w:rPr>
        <w:t xml:space="preserve">973 «</w:t>
      </w:r>
      <w:r>
        <w:rPr>
          <w:spacing w:val="-2"/>
          <w:sz w:val="28"/>
          <w:szCs w:val="28"/>
        </w:rPr>
        <w:t xml:space="preserve">О внесении изменений в график работы сетей наружного освещения территории города Перми, утвержденный постановлением администрации города Перми от 07.05.2004 № 1290».</w:t>
      </w:r>
      <w:r>
        <w:rPr>
          <w:spacing w:val="-2"/>
          <w:sz w:val="28"/>
          <w:szCs w:val="28"/>
          <w:highlight w:val="none"/>
          <w14:ligatures w14:val="none"/>
        </w:rPr>
      </w:r>
      <w:r>
        <w:rPr>
          <w:spacing w:val="-2"/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rPr>
          <w:spacing w:val="-2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pacing w:val="-2"/>
          <w:sz w:val="28"/>
          <w:szCs w:val="28"/>
          <w:highlight w:val="none"/>
        </w:rPr>
        <w:t xml:space="preserve">3. Департаменту дорог и благоустройства администрации города Перми организовать наружное освещение территории общего пользования города Перми </w:t>
        <w:br/>
        <w:t xml:space="preserve">в соответствии с настоящим постановлением</w:t>
      </w:r>
      <w:r>
        <w:rPr>
          <w:spacing w:val="-2"/>
          <w:sz w:val="28"/>
          <w:szCs w:val="28"/>
          <w:highlight w:val="none"/>
        </w:rPr>
        <w:t xml:space="preserve">.</w:t>
      </w:r>
      <w:r>
        <w:rPr>
          <w:spacing w:val="-2"/>
          <w:sz w:val="28"/>
          <w:szCs w:val="28"/>
          <w14:ligatures w14:val="none"/>
        </w:rPr>
      </w:r>
      <w:r>
        <w:rPr>
          <w:spacing w:val="-2"/>
          <w:sz w:val="28"/>
          <w:szCs w:val="28"/>
          <w14:ligatures w14:val="none"/>
        </w:rPr>
      </w:r>
    </w:p>
    <w:p>
      <w:pPr>
        <w:pStyle w:val="966"/>
        <w:ind w:firstLine="720"/>
        <w:jc w:val="both"/>
        <w:rPr>
          <w:spacing w:val="-2"/>
          <w:sz w:val="28"/>
          <w:szCs w:val="28"/>
          <w:highlight w:val="none"/>
        </w:rPr>
      </w:pPr>
      <w:r>
        <w:rPr>
          <w:spacing w:val="-2"/>
          <w:sz w:val="28"/>
          <w:szCs w:val="28"/>
          <w:highlight w:val="none"/>
        </w:rPr>
        <w:t xml:space="preserve">4. Муниципальному </w:t>
      </w:r>
      <w:r>
        <w:rPr>
          <w:spacing w:val="-2"/>
          <w:sz w:val="28"/>
          <w:szCs w:val="28"/>
          <w:highlight w:val="none"/>
        </w:rPr>
        <w:t xml:space="preserve">бюджетному</w:t>
      </w:r>
      <w:r>
        <w:rPr>
          <w:spacing w:val="-2"/>
          <w:sz w:val="28"/>
          <w:szCs w:val="28"/>
          <w:highlight w:val="none"/>
        </w:rPr>
        <w:t xml:space="preserve"> </w:t>
      </w:r>
      <w:r>
        <w:rPr>
          <w:spacing w:val="-2"/>
          <w:sz w:val="28"/>
          <w:szCs w:val="28"/>
          <w:highlight w:val="none"/>
        </w:rPr>
        <w:t xml:space="preserve">учреждению города Перми</w:t>
      </w:r>
      <w:r>
        <w:rPr>
          <w:spacing w:val="-2"/>
          <w:sz w:val="28"/>
          <w:szCs w:val="28"/>
          <w:highlight w:val="none"/>
        </w:rPr>
        <w:t xml:space="preserve"> «Горсвет</w:t>
      </w:r>
      <w:r>
        <w:rPr>
          <w:spacing w:val="-2"/>
          <w:sz w:val="28"/>
          <w:szCs w:val="28"/>
          <w:highlight w:val="none"/>
        </w:rPr>
        <w:t xml:space="preserve">» обеспечить </w:t>
      </w:r>
      <w:r>
        <w:rPr>
          <w:spacing w:val="-2"/>
          <w:sz w:val="28"/>
          <w:szCs w:val="28"/>
          <w:highlight w:val="none"/>
        </w:rPr>
        <w:t xml:space="preserve">включение и выключение стационарных </w:t>
      </w:r>
      <w:r>
        <w:rPr>
          <w:spacing w:val="-2"/>
          <w:sz w:val="28"/>
          <w:szCs w:val="28"/>
          <w:highlight w:val="none"/>
        </w:rPr>
        <w:t xml:space="preserve">установок</w:t>
      </w:r>
      <w:r>
        <w:rPr>
          <w:spacing w:val="-2"/>
          <w:sz w:val="28"/>
          <w:szCs w:val="28"/>
          <w:highlight w:val="none"/>
        </w:rPr>
        <w:t xml:space="preserve"> освещения</w:t>
      </w:r>
      <w:r>
        <w:rPr>
          <w:spacing w:val="-2"/>
          <w:sz w:val="28"/>
          <w:szCs w:val="28"/>
          <w:highlight w:val="none"/>
        </w:rPr>
        <w:t xml:space="preserve">, архитектурной подсветки и праздничной иллюм</w:t>
      </w:r>
      <w:r>
        <w:rPr>
          <w:spacing w:val="-2"/>
          <w:sz w:val="28"/>
          <w:szCs w:val="28"/>
          <w:highlight w:val="none"/>
        </w:rPr>
        <w:t xml:space="preserve">и</w:t>
      </w:r>
      <w:r>
        <w:rPr>
          <w:spacing w:val="-2"/>
          <w:sz w:val="28"/>
          <w:szCs w:val="28"/>
          <w:highlight w:val="none"/>
        </w:rPr>
        <w:t xml:space="preserve">нации в соответствии с</w:t>
      </w:r>
      <w:r>
        <w:rPr>
          <w:spacing w:val="-2"/>
          <w:sz w:val="28"/>
          <w:szCs w:val="28"/>
          <w:highlight w:val="none"/>
        </w:rPr>
        <w:t xml:space="preserve"> Графиком и Режимом.</w:t>
      </w:r>
      <w:r>
        <w:rPr>
          <w:spacing w:val="-2"/>
          <w:sz w:val="28"/>
          <w:szCs w:val="28"/>
          <w:highlight w:val="none"/>
        </w:rPr>
      </w:r>
      <w:r>
        <w:rPr>
          <w:spacing w:val="-2"/>
          <w:sz w:val="28"/>
          <w:szCs w:val="28"/>
          <w:highlight w:val="none"/>
        </w:rPr>
      </w:r>
    </w:p>
    <w:p>
      <w:pPr>
        <w:ind w:firstLine="720"/>
        <w:jc w:val="both"/>
        <w:rPr>
          <w:spacing w:val="-2"/>
          <w:sz w:val="28"/>
          <w:szCs w:val="28"/>
          <w:highlight w:val="none"/>
        </w:rPr>
      </w:pPr>
      <w:r>
        <w:rPr>
          <w:spacing w:val="-2"/>
          <w:sz w:val="28"/>
          <w:szCs w:val="28"/>
          <w:highlight w:val="none"/>
        </w:rPr>
        <w:t xml:space="preserve">5. Рекомендовать о</w:t>
      </w:r>
      <w:r>
        <w:rPr>
          <w:spacing w:val="-2"/>
          <w:sz w:val="28"/>
          <w:szCs w:val="28"/>
          <w:highlight w:val="none"/>
        </w:rPr>
        <w:t xml:space="preserve">рганизациям, независимо от организационно-правовой формы и формы собственности, имеющим во владении, пользовании стационарные установ</w:t>
      </w:r>
      <w:r>
        <w:rPr>
          <w:spacing w:val="-2"/>
          <w:sz w:val="28"/>
          <w:szCs w:val="28"/>
          <w:highlight w:val="none"/>
        </w:rPr>
        <w:t xml:space="preserve">ки освещения, архитектурную подсветку и праздничную иллюминацию, руководствоваться настоящим постановлением.</w:t>
      </w:r>
      <w:r>
        <w:rPr>
          <w:spacing w:val="-2"/>
          <w:sz w:val="28"/>
          <w:szCs w:val="28"/>
          <w:highlight w:val="none"/>
        </w:rPr>
      </w:r>
      <w:r>
        <w:rPr>
          <w:spacing w:val="-2"/>
          <w:sz w:val="28"/>
          <w:szCs w:val="28"/>
          <w:highlight w:val="none"/>
        </w:rPr>
      </w:r>
    </w:p>
    <w:p>
      <w:pPr>
        <w:pStyle w:val="984"/>
        <w:ind w:firstLine="720"/>
        <w:jc w:val="both"/>
        <w:spacing w:line="233" w:lineRule="auto"/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6.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pStyle w:val="984"/>
        <w:ind w:firstLine="720"/>
        <w:jc w:val="both"/>
        <w:spacing w:line="233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7. Управлению по общим вопр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84"/>
        <w:ind w:firstLine="720"/>
        <w:jc w:val="both"/>
        <w:spacing w:line="233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8.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«Официальный сайт муниципального образования город Пермь www.gorodperm.ru».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84"/>
        <w:ind w:firstLine="720"/>
        <w:jc w:val="both"/>
        <w:spacing w:line="233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9. Контроль за исполнением настоящего постановления возложить </w:t>
      </w:r>
      <w:r>
        <w:rPr>
          <w:rFonts w:ascii="Times New Roman" w:hAnsi="Times New Roman" w:cs="Times New Roman"/>
          <w:sz w:val="28"/>
          <w:szCs w:val="28"/>
        </w:rPr>
        <w:br/>
        <w:t xml:space="preserve">на заместителя главы администрации города Перми </w:t>
      </w:r>
      <w:r>
        <w:rPr>
          <w:rFonts w:ascii="Times New Roman" w:hAnsi="Times New Roman" w:cs="Times New Roman"/>
          <w:sz w:val="28"/>
          <w:szCs w:val="28"/>
        </w:rPr>
        <w:t xml:space="preserve">Галиханова</w:t>
      </w:r>
      <w:r>
        <w:rPr>
          <w:rFonts w:ascii="Times New Roman" w:hAnsi="Times New Roman" w:cs="Times New Roman"/>
          <w:sz w:val="28"/>
          <w:szCs w:val="28"/>
        </w:rPr>
        <w:t xml:space="preserve"> Д.К.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66"/>
        <w:ind w:firstLine="72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6"/>
        <w:ind w:firstLine="72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6"/>
        <w:ind w:firstLine="72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6"/>
        <w:jc w:val="both"/>
        <w:spacing w:line="238" w:lineRule="exact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Глава</w:t>
      </w:r>
      <w:r>
        <w:rPr>
          <w:sz w:val="28"/>
          <w:szCs w:val="28"/>
        </w:rPr>
        <w:t xml:space="preserve"> города </w:t>
      </w:r>
      <w:r>
        <w:rPr>
          <w:sz w:val="28"/>
          <w:szCs w:val="28"/>
        </w:rPr>
        <w:t xml:space="preserve">Перми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</w:t>
      </w: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Э.О. Соснин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6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6"/>
        <w:jc w:val="both"/>
        <w:widowControl w:val="off"/>
        <w:rPr>
          <w:sz w:val="28"/>
          <w:szCs w:val="28"/>
        </w:rPr>
        <w:sectPr>
          <w:headerReference w:type="default" r:id="rId9"/>
          <w:footerReference w:type="first" r:id="rId10"/>
          <w:footnotePr/>
          <w:endnotePr/>
          <w:type w:val="nextPage"/>
          <w:pgSz w:w="11900" w:h="16820" w:orient="portrait"/>
          <w:pgMar w:top="1134" w:right="567" w:bottom="1134" w:left="1418" w:header="363" w:footer="720" w:gutter="0"/>
          <w:pgNumType w:start="1"/>
          <w:cols w:num="1" w:sep="0" w:space="60" w:equalWidth="1"/>
          <w:docGrid w:linePitch="360"/>
          <w:titlePg/>
        </w:sect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6"/>
        <w:ind w:left="9923"/>
        <w:spacing w:line="240" w:lineRule="exact"/>
        <w:widowControl w:val="off"/>
        <w:rPr>
          <w:sz w:val="32"/>
          <w:szCs w:val="32"/>
        </w:rPr>
        <w:outlineLvl w:val="0"/>
      </w:pPr>
      <w:r>
        <w:rPr>
          <w:sz w:val="28"/>
          <w:szCs w:val="28"/>
        </w:rPr>
        <w:t xml:space="preserve">УТВЕРЖДЕН</w:t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Style w:val="966"/>
        <w:ind w:left="9923"/>
        <w:spacing w:line="240" w:lineRule="exact"/>
        <w:widowControl w:val="off"/>
        <w:rPr>
          <w:sz w:val="32"/>
          <w:szCs w:val="32"/>
        </w:rPr>
      </w:pP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остановлением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Style w:val="966"/>
        <w:ind w:left="9923"/>
        <w:spacing w:line="240" w:lineRule="exact"/>
        <w:widowControl w:val="off"/>
        <w:rPr>
          <w:sz w:val="32"/>
          <w:szCs w:val="32"/>
        </w:rPr>
      </w:pPr>
      <w:r>
        <w:rPr>
          <w:sz w:val="28"/>
          <w:szCs w:val="28"/>
        </w:rPr>
        <w:t xml:space="preserve">города Перми</w:t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Style w:val="966"/>
        <w:ind w:left="9923"/>
        <w:spacing w:line="240" w:lineRule="exact"/>
        <w:widowControl w:val="off"/>
        <w:rPr>
          <w:sz w:val="32"/>
          <w:szCs w:val="32"/>
        </w:rPr>
      </w:pPr>
      <w:r>
        <w:rPr>
          <w:sz w:val="28"/>
          <w:szCs w:val="28"/>
        </w:rPr>
        <w:t xml:space="preserve">от</w:t>
      </w:r>
      <w:r>
        <w:rPr>
          <w:sz w:val="28"/>
          <w:szCs w:val="28"/>
        </w:rPr>
        <w:t xml:space="preserve"> 25.08.2026 № 503</w:t>
      </w:r>
      <w:r>
        <w:rPr>
          <w:sz w:val="32"/>
          <w:szCs w:val="32"/>
        </w:rPr>
      </w:r>
    </w:p>
    <w:p>
      <w:pPr>
        <w:jc w:val="both"/>
        <w:widowControl w:val="off"/>
        <w:rPr>
          <w:rFonts w:ascii="Arial" w:hAnsi="Arial" w:cs="Arial"/>
        </w:rPr>
      </w:pPr>
      <w:r>
        <w:rPr>
          <w:rFonts w:ascii="Arial" w:hAnsi="Arial" w:cs="Arial"/>
          <w:szCs w:val="22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966"/>
        <w:jc w:val="both"/>
        <w:widowControl w:val="off"/>
        <w:rPr>
          <w:rFonts w:ascii="Arial" w:hAnsi="Arial" w:cs="Arial"/>
        </w:rPr>
      </w:pPr>
      <w:r>
        <w:rPr>
          <w:rFonts w:ascii="Arial" w:hAnsi="Arial" w:cs="Arial"/>
          <w:szCs w:val="22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966"/>
        <w:jc w:val="both"/>
        <w:widowControl w:val="off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</w:r>
      <w:r>
        <w:rPr>
          <w:rFonts w:ascii="Arial" w:hAnsi="Arial" w:cs="Arial"/>
          <w:szCs w:val="22"/>
        </w:rPr>
      </w:r>
      <w:r>
        <w:rPr>
          <w:rFonts w:ascii="Arial" w:hAnsi="Arial" w:cs="Arial"/>
          <w:szCs w:val="22"/>
        </w:rPr>
      </w:r>
    </w:p>
    <w:p>
      <w:pPr>
        <w:pStyle w:val="966"/>
        <w:jc w:val="center"/>
        <w:spacing w:line="238" w:lineRule="exact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ГРАФИК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66"/>
        <w:jc w:val="center"/>
        <w:spacing w:line="238" w:lineRule="exact"/>
        <w:widowControl w:val="off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работы</w:t>
      </w:r>
      <w:r>
        <w:rPr>
          <w:b/>
          <w:sz w:val="28"/>
          <w:szCs w:val="28"/>
        </w:rPr>
        <w:t xml:space="preserve"> стационарных установок</w:t>
      </w:r>
      <w:r>
        <w:rPr>
          <w:b/>
          <w:sz w:val="28"/>
          <w:szCs w:val="28"/>
        </w:rPr>
        <w:t xml:space="preserve"> освещения, архитектурной подсветки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38" w:lineRule="exact"/>
        <w:widowControl w:val="off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</w:rPr>
        <w:t xml:space="preserve">и праздничной иллюминации на территории города Перми 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left"/>
        <w:spacing w:line="238" w:lineRule="exact"/>
        <w:widowControl w:val="o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tbl>
      <w:tblPr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2457"/>
        <w:gridCol w:w="1063"/>
        <w:gridCol w:w="1023"/>
        <w:gridCol w:w="1062"/>
        <w:gridCol w:w="1023"/>
        <w:gridCol w:w="1062"/>
        <w:gridCol w:w="1023"/>
        <w:gridCol w:w="1062"/>
        <w:gridCol w:w="1023"/>
        <w:gridCol w:w="1062"/>
        <w:gridCol w:w="1023"/>
        <w:gridCol w:w="1062"/>
        <w:gridCol w:w="101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21" w:type="pct"/>
            <w:vAlign w:val="top"/>
            <w:vMerge w:val="restart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Числа месяца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Mar>
              <w:left w:w="62" w:type="dxa"/>
              <w:top w:w="0" w:type="dxa"/>
              <w:right w:w="62" w:type="dxa"/>
              <w:bottom w:w="0" w:type="dxa"/>
            </w:tcMar>
            <w:tcW w:w="697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Mar>
              <w:left w:w="62" w:type="dxa"/>
              <w:top w:w="0" w:type="dxa"/>
              <w:right w:w="62" w:type="dxa"/>
              <w:bottom w:w="0" w:type="dxa"/>
            </w:tcMar>
            <w:tcW w:w="697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Mar>
              <w:left w:w="62" w:type="dxa"/>
              <w:top w:w="0" w:type="dxa"/>
              <w:right w:w="62" w:type="dxa"/>
              <w:bottom w:w="0" w:type="dxa"/>
            </w:tcMar>
            <w:tcW w:w="697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Mar>
              <w:left w:w="62" w:type="dxa"/>
              <w:top w:w="0" w:type="dxa"/>
              <w:right w:w="62" w:type="dxa"/>
              <w:bottom w:w="0" w:type="dxa"/>
            </w:tcMar>
            <w:tcW w:w="697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Mar>
              <w:left w:w="62" w:type="dxa"/>
              <w:top w:w="0" w:type="dxa"/>
              <w:right w:w="62" w:type="dxa"/>
              <w:bottom w:w="0" w:type="dxa"/>
            </w:tcMar>
            <w:tcW w:w="697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Mar>
              <w:left w:w="62" w:type="dxa"/>
              <w:top w:w="0" w:type="dxa"/>
              <w:right w:w="62" w:type="dxa"/>
              <w:bottom w:w="0" w:type="dxa"/>
            </w:tcMar>
            <w:tcW w:w="69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Июнь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6"/>
        </w:trPr>
        <w:tc>
          <w:tcPr>
            <w:tcW w:w="821" w:type="pct"/>
            <w:vAlign w:val="top"/>
            <w:vMerge w:val="continue"/>
            <w:textDirection w:val="lrTb"/>
            <w:noWrap w:val="false"/>
          </w:tcPr>
          <w:p>
            <w:pPr>
              <w:pStyle w:val="966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вкл.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откл.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вкл.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откл.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вкл.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откл.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вкл.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откл.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вкл.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откл.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вкл.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39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откл.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966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tbl>
      <w:tblPr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2457"/>
        <w:gridCol w:w="1063"/>
        <w:gridCol w:w="1023"/>
        <w:gridCol w:w="1062"/>
        <w:gridCol w:w="1023"/>
        <w:gridCol w:w="1062"/>
        <w:gridCol w:w="1023"/>
        <w:gridCol w:w="1062"/>
        <w:gridCol w:w="1023"/>
        <w:gridCol w:w="1062"/>
        <w:gridCol w:w="1023"/>
        <w:gridCol w:w="1062"/>
        <w:gridCol w:w="101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59"/>
          <w:tblHeader/>
        </w:trPr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21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39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21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17:08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9:22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18:08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8:42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19:15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7:37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20:27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6:06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21:36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4:43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22:56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39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3:24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21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17:10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9:21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18:10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8:39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19:18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7:34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20:29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6:03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21:39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4:40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22:58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39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3:22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21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17:12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9:20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18:12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8:36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19:21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7:31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20:31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6:00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21:42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4:37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23:00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39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3:20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21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17:14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9:19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18:14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8:33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19:24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7:28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20:33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5:57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21:45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4:34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23:02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39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3:18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21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17:16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9:18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18:16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8:30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19:27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7:25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20:35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5:54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21:48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4:31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23:03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39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3:16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21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17:18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9:17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18:18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8:27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19:30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7:22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20:37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5:51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21:51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4:28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23:04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39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3:14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21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17:20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9:16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18:21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8:24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19:33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7:19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20:39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5:48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21:54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4:25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23:05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39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3:12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21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17:22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9:15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18:24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8:21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19:36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7:16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20:41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5:45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21:57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4:22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23:06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39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3:11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21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17:24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9:14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18:27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8:18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19:39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7:13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20:44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5:42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22:00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4:19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23:07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39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3:10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26"/>
        </w:trPr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21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17:26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9:13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18:30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8:16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19:42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7:10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20:47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5:40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22:03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4:16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23:08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39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3:09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21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11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17:28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9:12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18:33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8:14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19:45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7:07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20:50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5:37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22:06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4:13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23:09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39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3:08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21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17:30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9:11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18:36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8:12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19:47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7:04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20:53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5:34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22:09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4:10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23:10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39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3:07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21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17:32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9:10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18:39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8:10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19:49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7:01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20:56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5:31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22:12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4:07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23:11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39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3:06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21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17:34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9:09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18:42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8:08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19:51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6:58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20:59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5:28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22:15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4:04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23:11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39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3:06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21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17:36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9:08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18:45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8:06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19:53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6:55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21:01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5:25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22:18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4:01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23:12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39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3:05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21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17:38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9:07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18:48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8:04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19:55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6:52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21:04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5:22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22:21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3:58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23:12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39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3:05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21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17:40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9:06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18:50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8:02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19:57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6:49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21:07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5:19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22:24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3:55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23:13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39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3:04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21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17:42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9:05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18:52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8:00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19:59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6:46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21:10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5:16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22:27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3:52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23:13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39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3:04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21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17:44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9:04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18:54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7:58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20:01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6:43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21:13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5:13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22:30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3:49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23:14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39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3:03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21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17:46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9:03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18:56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7:56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20:03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6:40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21:16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5:10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22:33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3:46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23:14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39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3:03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21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17:48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9:02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18:58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7:54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20:05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6:37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21:18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5:07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22:35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3:43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23:14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39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3:03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21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17:50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9:01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19:00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7:52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20:07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6:34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21:20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5:04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22:37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3:41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23:14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39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3:03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21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17:52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9:00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19:02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7:50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20:09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6:31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21:22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5:01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22:39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3:39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23:14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39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3:03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21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17:54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8:59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19:04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7:48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20:11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6:28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21:24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4:58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22:41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3:37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23:14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39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3:03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21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17:56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8:57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19:06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7:46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20:13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6:25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21:26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4:56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22:43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3:35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23:14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39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3:03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21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17:58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8:55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19:08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7:44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20:15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6:22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21:28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4:54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22:45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3:33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23:13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39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3:04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21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18:00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8:53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19:10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7:42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20:17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6:19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21:30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4:52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22:47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3:31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23:13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39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3:04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21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18:02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8:51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19:12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7:41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20:19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6:16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21:32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4:50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22:49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3:29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23:13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39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3:04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21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29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18:04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8:49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-*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-*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20:21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6:13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21:34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4:48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22:51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3:27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23:12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39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3:05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21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18:06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8:47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20:23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6:10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21:36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4:46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22:53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3:25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</w:pPr>
            <w:r>
              <w:rPr>
                <w:sz w:val="28"/>
                <w:szCs w:val="28"/>
              </w:rPr>
              <w:t xml:space="preserve">23:11</w:t>
            </w:r>
            <w:r/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39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3:06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21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18:08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8:45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20:25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6:08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22:55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2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3:24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39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21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Часы г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рения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Mar>
              <w:left w:w="62" w:type="dxa"/>
              <w:top w:w="0" w:type="dxa"/>
              <w:right w:w="62" w:type="dxa"/>
              <w:bottom w:w="0" w:type="dxa"/>
            </w:tcMar>
            <w:tcW w:w="696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479-31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Mar>
              <w:left w:w="62" w:type="dxa"/>
              <w:top w:w="0" w:type="dxa"/>
              <w:right w:w="62" w:type="dxa"/>
              <w:bottom w:w="0" w:type="dxa"/>
            </w:tcMar>
            <w:tcW w:w="697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376-38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Mar>
              <w:left w:w="62" w:type="dxa"/>
              <w:top w:w="0" w:type="dxa"/>
              <w:right w:w="62" w:type="dxa"/>
              <w:bottom w:w="0" w:type="dxa"/>
            </w:tcMar>
            <w:tcW w:w="697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340-23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Mar>
              <w:left w:w="62" w:type="dxa"/>
              <w:top w:w="0" w:type="dxa"/>
              <w:right w:w="62" w:type="dxa"/>
              <w:bottom w:w="0" w:type="dxa"/>
            </w:tcMar>
            <w:tcW w:w="697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250-55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Mar>
              <w:left w:w="62" w:type="dxa"/>
              <w:top w:w="0" w:type="dxa"/>
              <w:right w:w="62" w:type="dxa"/>
              <w:bottom w:w="0" w:type="dxa"/>
            </w:tcMar>
            <w:tcW w:w="697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176-09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Mar>
              <w:left w:w="62" w:type="dxa"/>
              <w:top w:w="0" w:type="dxa"/>
              <w:right w:w="62" w:type="dxa"/>
              <w:bottom w:w="0" w:type="dxa"/>
            </w:tcMar>
            <w:tcW w:w="696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119-25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966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2412"/>
        <w:gridCol w:w="1063"/>
        <w:gridCol w:w="1029"/>
        <w:gridCol w:w="1062"/>
        <w:gridCol w:w="1029"/>
        <w:gridCol w:w="1062"/>
        <w:gridCol w:w="1029"/>
        <w:gridCol w:w="1062"/>
        <w:gridCol w:w="1029"/>
        <w:gridCol w:w="1062"/>
        <w:gridCol w:w="1029"/>
        <w:gridCol w:w="1062"/>
        <w:gridCol w:w="102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06" w:type="pct"/>
            <w:vAlign w:val="top"/>
            <w:vMerge w:val="restart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Числа месяца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Mar>
              <w:left w:w="62" w:type="dxa"/>
              <w:top w:w="0" w:type="dxa"/>
              <w:right w:w="62" w:type="dxa"/>
              <w:bottom w:w="0" w:type="dxa"/>
            </w:tcMar>
            <w:tcW w:w="699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Июль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Mar>
              <w:left w:w="62" w:type="dxa"/>
              <w:top w:w="0" w:type="dxa"/>
              <w:right w:w="62" w:type="dxa"/>
              <w:bottom w:w="0" w:type="dxa"/>
            </w:tcMar>
            <w:tcW w:w="699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Август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Mar>
              <w:left w:w="62" w:type="dxa"/>
              <w:top w:w="0" w:type="dxa"/>
              <w:right w:w="62" w:type="dxa"/>
              <w:bottom w:w="0" w:type="dxa"/>
            </w:tcMar>
            <w:tcW w:w="699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Mar>
              <w:left w:w="62" w:type="dxa"/>
              <w:top w:w="0" w:type="dxa"/>
              <w:right w:w="62" w:type="dxa"/>
              <w:bottom w:w="0" w:type="dxa"/>
            </w:tcMar>
            <w:tcW w:w="699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Mar>
              <w:left w:w="62" w:type="dxa"/>
              <w:top w:w="0" w:type="dxa"/>
              <w:right w:w="62" w:type="dxa"/>
              <w:bottom w:w="0" w:type="dxa"/>
            </w:tcMar>
            <w:tcW w:w="699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Mar>
              <w:left w:w="62" w:type="dxa"/>
              <w:top w:w="0" w:type="dxa"/>
              <w:right w:w="62" w:type="dxa"/>
              <w:bottom w:w="0" w:type="dxa"/>
            </w:tcMar>
            <w:tcW w:w="699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06" w:type="pct"/>
            <w:vAlign w:val="top"/>
            <w:vMerge w:val="continue"/>
            <w:textDirection w:val="lrTb"/>
            <w:noWrap w:val="false"/>
          </w:tcPr>
          <w:p>
            <w:pPr>
              <w:pStyle w:val="966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вкл.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откл.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вкл.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откл.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вкл.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откл.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вкл.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откл.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вкл.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откл.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вкл.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откл.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966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tbl>
      <w:tblPr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2412"/>
        <w:gridCol w:w="1063"/>
        <w:gridCol w:w="1029"/>
        <w:gridCol w:w="1062"/>
        <w:gridCol w:w="1029"/>
        <w:gridCol w:w="1062"/>
        <w:gridCol w:w="1029"/>
        <w:gridCol w:w="1062"/>
        <w:gridCol w:w="1029"/>
        <w:gridCol w:w="1062"/>
        <w:gridCol w:w="1029"/>
        <w:gridCol w:w="1062"/>
        <w:gridCol w:w="102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3"/>
          <w:tblHeader/>
        </w:trPr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06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06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23:10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3:08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22:08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4:23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20:44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5:44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19:17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6:48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17:54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7:55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17:03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9:01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06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23:08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3:10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22:05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4:26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20:42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5:45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19:14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6:50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17:51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7:57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17:02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9:02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06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23:06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3:12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22:02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4:29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20:39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5:47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19:12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6:53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17:49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7:59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17:02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9:03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06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23:04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3:14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21:59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4:29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20:36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5:50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19:10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6:56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17:47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8:01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17:01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9:04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06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23:02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3:16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21:56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4:32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20:33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5:53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19:08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6:59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17:45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8:04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17:01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9:05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06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23:00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3:18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21:53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4:35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20:30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5:57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19:05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7:02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17:43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8:07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17:00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9:07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06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22:58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3:20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21:50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4:38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20:27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5:59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19:02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7:05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17:41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8:10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16:59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9:09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06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22:56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3:22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21:47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4:41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20:24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6:01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18:59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7:08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17:39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8:13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16:59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9:10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06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22:55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3:24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21:44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4:44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20:21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6:04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18:56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7:11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17:37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8:16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16:59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9:11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06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22:53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3:26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21:41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4:46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20:18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6:07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18:53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7:14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17:35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8:19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16:59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9:12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06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22:51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3:28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21:38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4:48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20:15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6:10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18:50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7:16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17:33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8:22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16:59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9:13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06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22:49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3:30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21:35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4:50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20:12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6:12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18:47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7:18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17:31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8:25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16:59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9:14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06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22:47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3:32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21:32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4:52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20:09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6:14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18:44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7:20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17:29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8:28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16:58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9:15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06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22:45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3:34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21:29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4:54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20:06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6:16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18:41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7:22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17:27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8:31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16:58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9:16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06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22:43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3:36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21:26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4:56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20:03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6:19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18:38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7:24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17:25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8:34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16:58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9:17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06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22:41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3:38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21:23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4:58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20:00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6:22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18:35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7:26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17:23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8:36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16:58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9:18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06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22:39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3:40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21:20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5:00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19:57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6:24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18:32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7:28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17:21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8:38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16:58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9:19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06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22:37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3:42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21:17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5:03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19:54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6:26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18:29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7:30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17:19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8:40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16:58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9:20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06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22:35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3:44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21:14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5:06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19:51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6:28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18:26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7:32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17:17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8:42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16:58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9:21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06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22:33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3:47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21:11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5:09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19:48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6:30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18:23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7:34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17:15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8:44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16:58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9:22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06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22:31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3:50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21:08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5:12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19:45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6:32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18:20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7:36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17:13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8:46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16:59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9:23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06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22:29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3:53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21:05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5:15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19:42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6:34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18:17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7:38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17:12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8:48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16:59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9:23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06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22:27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3:56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21:02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5:18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19:39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6:36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18:14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7:40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17:11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8:50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17:00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9:23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06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22:25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3:59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21:00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5:21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19:36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6:38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18:11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7:42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17:10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8:52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17:01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9:23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06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22:23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4:02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20:58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5:24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19:34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6:41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18:08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7:44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17:09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8:54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17:02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9:23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06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26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22:21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4:05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20:56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5:27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19:32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6:42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18:06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7:46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17:08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8:55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17:03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9:23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06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22:19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4:08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20:54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5:30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19:29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6:43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18:04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7:48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17:07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8:56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17:04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9:23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06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22:17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4:11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20:52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5:33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19:26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6:44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18:02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7:50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17:06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8:57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17:05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9:23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06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22:15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4:14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20:50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5:36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19:23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6:45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18:00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7:51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17:05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8:58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17:06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9:23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06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22:13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4:17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20:48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5:39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19:20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6:47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17:58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7:53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17:04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8:59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17:07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9:23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06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22:11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4:20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20:47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5:41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17:56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7:54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55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17:07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34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9:22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06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Часы горения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Mar>
              <w:left w:w="62" w:type="dxa"/>
              <w:top w:w="0" w:type="dxa"/>
              <w:right w:w="62" w:type="dxa"/>
              <w:bottom w:w="0" w:type="dxa"/>
            </w:tcMar>
            <w:tcW w:w="699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154-53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Mar>
              <w:left w:w="62" w:type="dxa"/>
              <w:top w:w="0" w:type="dxa"/>
              <w:right w:w="62" w:type="dxa"/>
              <w:bottom w:w="0" w:type="dxa"/>
            </w:tcMar>
            <w:tcW w:w="699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235-45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Mar>
              <w:left w:w="62" w:type="dxa"/>
              <w:top w:w="0" w:type="dxa"/>
              <w:right w:w="62" w:type="dxa"/>
              <w:bottom w:w="0" w:type="dxa"/>
            </w:tcMar>
            <w:tcW w:w="699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308-15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Mar>
              <w:left w:w="62" w:type="dxa"/>
              <w:top w:w="0" w:type="dxa"/>
              <w:right w:w="62" w:type="dxa"/>
              <w:bottom w:w="0" w:type="dxa"/>
            </w:tcMar>
            <w:tcW w:w="699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397-21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Mar>
              <w:left w:w="62" w:type="dxa"/>
              <w:top w:w="0" w:type="dxa"/>
              <w:right w:w="62" w:type="dxa"/>
              <w:bottom w:w="0" w:type="dxa"/>
            </w:tcMar>
            <w:tcW w:w="699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452-50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Mar>
              <w:left w:w="62" w:type="dxa"/>
              <w:top w:w="0" w:type="dxa"/>
              <w:right w:w="62" w:type="dxa"/>
              <w:bottom w:w="0" w:type="dxa"/>
            </w:tcMar>
            <w:tcW w:w="699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503-51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06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Всего за год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12"/>
            <w:tcMar>
              <w:left w:w="62" w:type="dxa"/>
              <w:top w:w="0" w:type="dxa"/>
              <w:right w:w="62" w:type="dxa"/>
              <w:bottom w:w="0" w:type="dxa"/>
            </w:tcMar>
            <w:tcW w:w="4194" w:type="pct"/>
            <w:vAlign w:val="top"/>
            <w:textDirection w:val="lrTb"/>
            <w:noWrap w:val="false"/>
          </w:tcPr>
          <w:p>
            <w:pPr>
              <w:pStyle w:val="966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3 796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left="0" w:firstLine="720"/>
        <w:widowControl w:val="off"/>
        <w:rPr>
          <w:rFonts w:ascii="Arial" w:hAnsi="Arial" w:cs="Arial"/>
        </w:rPr>
        <w:suppressLineNumbers w:val="0"/>
      </w:pPr>
      <w:r>
        <w:rPr>
          <w:spacing w:val="-2"/>
          <w:sz w:val="28"/>
          <w:szCs w:val="28"/>
          <w:highlight w:val="none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ind w:left="0" w:firstLine="720"/>
        <w:jc w:val="both"/>
        <w:widowControl w:val="off"/>
        <w:rPr>
          <w:spacing w:val="-2"/>
          <w:sz w:val="28"/>
          <w:szCs w:val="28"/>
          <w:highlight w:val="none"/>
        </w:rPr>
        <w:suppressLineNumbers w:val="0"/>
      </w:pPr>
      <w:r>
        <w:rPr>
          <w:spacing w:val="-2"/>
          <w:sz w:val="28"/>
          <w:szCs w:val="28"/>
          <w:highlight w:val="none"/>
        </w:rPr>
        <w:t xml:space="preserve">* </w:t>
      </w:r>
      <w:r>
        <w:rPr>
          <w:spacing w:val="-2"/>
          <w:sz w:val="28"/>
          <w:szCs w:val="28"/>
          <w:highlight w:val="none"/>
        </w:rPr>
        <w:t xml:space="preserve">29 февраля </w:t>
      </w:r>
      <w:r>
        <w:rPr>
          <w:spacing w:val="-2"/>
          <w:sz w:val="28"/>
          <w:szCs w:val="28"/>
          <w:highlight w:val="none"/>
        </w:rPr>
        <w:t xml:space="preserve">включение и выключение стационарных </w:t>
      </w:r>
      <w:r>
        <w:rPr>
          <w:spacing w:val="-2"/>
          <w:sz w:val="28"/>
          <w:szCs w:val="28"/>
          <w:highlight w:val="none"/>
        </w:rPr>
        <w:t xml:space="preserve">установок</w:t>
      </w:r>
      <w:r>
        <w:rPr>
          <w:spacing w:val="-2"/>
          <w:sz w:val="28"/>
          <w:szCs w:val="28"/>
          <w:highlight w:val="none"/>
        </w:rPr>
        <w:t xml:space="preserve"> освещения</w:t>
      </w:r>
      <w:r>
        <w:rPr>
          <w:spacing w:val="-2"/>
          <w:sz w:val="28"/>
          <w:szCs w:val="28"/>
          <w:highlight w:val="none"/>
        </w:rPr>
        <w:t xml:space="preserve">, архитектурной подсветки и праздничной иллюм</w:t>
      </w:r>
      <w:r>
        <w:rPr>
          <w:spacing w:val="-2"/>
          <w:sz w:val="28"/>
          <w:szCs w:val="28"/>
          <w:highlight w:val="none"/>
        </w:rPr>
        <w:t xml:space="preserve">и</w:t>
      </w:r>
      <w:r>
        <w:rPr>
          <w:spacing w:val="-2"/>
          <w:sz w:val="28"/>
          <w:szCs w:val="28"/>
          <w:highlight w:val="none"/>
        </w:rPr>
        <w:t xml:space="preserve">нации производить по графику 01 марта.</w:t>
      </w:r>
      <w:r>
        <w:rPr>
          <w:spacing w:val="-2"/>
          <w:sz w:val="28"/>
          <w:szCs w:val="28"/>
          <w:highlight w:val="none"/>
        </w:rPr>
      </w:r>
      <w:r>
        <w:rPr>
          <w:spacing w:val="-2"/>
          <w:sz w:val="28"/>
          <w:szCs w:val="28"/>
          <w:highlight w:val="none"/>
        </w:rPr>
      </w:r>
    </w:p>
    <w:p>
      <w:pPr>
        <w:pStyle w:val="966"/>
        <w:widowControl w:val="off"/>
        <w:rPr>
          <w:rFonts w:ascii="Arial" w:hAnsi="Arial" w:cs="Arial"/>
          <w:szCs w:val="22"/>
        </w:rPr>
        <w:sectPr>
          <w:footnotePr/>
          <w:endnotePr/>
          <w:type w:val="nextPage"/>
          <w:pgSz w:w="16820" w:h="11900" w:orient="landscape"/>
          <w:pgMar w:top="1134" w:right="567" w:bottom="1134" w:left="1418" w:header="363" w:footer="720" w:gutter="0"/>
          <w:pgNumType w:start="1"/>
          <w:cols w:num="1" w:sep="0" w:space="60" w:equalWidth="1"/>
          <w:docGrid w:linePitch="360"/>
          <w:titlePg/>
        </w:sectPr>
      </w:pPr>
      <w:r>
        <w:rPr>
          <w:rFonts w:ascii="Arial" w:hAnsi="Arial" w:cs="Arial"/>
          <w:szCs w:val="22"/>
        </w:rPr>
      </w:r>
      <w:r>
        <w:rPr>
          <w:rFonts w:ascii="Arial" w:hAnsi="Arial" w:cs="Arial"/>
          <w:szCs w:val="22"/>
        </w:rPr>
      </w:r>
      <w:r>
        <w:rPr>
          <w:rFonts w:ascii="Arial" w:hAnsi="Arial" w:cs="Arial"/>
          <w:szCs w:val="22"/>
        </w:rPr>
      </w:r>
    </w:p>
    <w:p>
      <w:pPr>
        <w:ind w:firstLine="5669"/>
        <w:jc w:val="left"/>
        <w:spacing w:line="238" w:lineRule="exact"/>
        <w:widowControl w:val="off"/>
        <w:rPr>
          <w:b/>
          <w:bCs/>
          <w:sz w:val="36"/>
          <w:szCs w:val="36"/>
          <w:highlight w:val="none"/>
        </w:rPr>
        <w:suppressLineNumbers w:val="0"/>
      </w:pPr>
      <w:r>
        <w:rPr>
          <w:b/>
          <w:sz w:val="32"/>
          <w:szCs w:val="24"/>
          <w:highlight w:val="none"/>
        </w:rPr>
      </w:r>
      <w:r>
        <w:rPr>
          <w:sz w:val="28"/>
          <w:szCs w:val="28"/>
        </w:rPr>
        <w:t xml:space="preserve">УТВЕРЖДЕН</w:t>
      </w:r>
      <w:r>
        <w:rPr>
          <w:b/>
          <w:bCs/>
          <w:sz w:val="36"/>
          <w:szCs w:val="36"/>
          <w:highlight w:val="none"/>
        </w:rPr>
      </w:r>
      <w:r>
        <w:rPr>
          <w:b/>
          <w:bCs/>
          <w:sz w:val="36"/>
          <w:szCs w:val="36"/>
          <w:highlight w:val="none"/>
        </w:rPr>
      </w:r>
    </w:p>
    <w:p>
      <w:pPr>
        <w:ind w:firstLine="5669"/>
        <w:jc w:val="left"/>
        <w:spacing w:line="238" w:lineRule="exact"/>
        <w:widowControl w:val="off"/>
        <w:rPr>
          <w:b/>
          <w:bCs/>
          <w:sz w:val="36"/>
          <w:szCs w:val="36"/>
          <w:highlight w:val="none"/>
        </w:rPr>
        <w:suppressLineNumbers w:val="0"/>
      </w:pPr>
      <w:r>
        <w:rPr>
          <w:b/>
          <w:sz w:val="32"/>
          <w:szCs w:val="24"/>
          <w:highlight w:val="none"/>
        </w:rPr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остановлением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  <w:r>
        <w:rPr>
          <w:b/>
          <w:bCs/>
          <w:sz w:val="36"/>
          <w:szCs w:val="36"/>
          <w:highlight w:val="none"/>
        </w:rPr>
      </w:r>
      <w:r>
        <w:rPr>
          <w:b/>
          <w:bCs/>
          <w:sz w:val="36"/>
          <w:szCs w:val="36"/>
          <w:highlight w:val="none"/>
        </w:rPr>
      </w:r>
    </w:p>
    <w:p>
      <w:pPr>
        <w:ind w:firstLine="5669"/>
        <w:jc w:val="left"/>
        <w:spacing w:line="238" w:lineRule="exact"/>
        <w:widowControl w:val="off"/>
        <w:rPr>
          <w:sz w:val="32"/>
          <w:szCs w:val="32"/>
        </w:rPr>
        <w:suppressLineNumbers w:val="0"/>
      </w:pPr>
      <w:r>
        <w:rPr>
          <w:sz w:val="28"/>
          <w:szCs w:val="28"/>
        </w:rPr>
        <w:t xml:space="preserve">города Перми </w:t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ind w:firstLine="5669"/>
        <w:jc w:val="left"/>
        <w:spacing w:line="238" w:lineRule="exact"/>
        <w:widowControl w:val="off"/>
        <w:rPr>
          <w:b/>
          <w:bCs/>
          <w:sz w:val="36"/>
          <w:szCs w:val="36"/>
        </w:rPr>
        <w:suppressLineNumbers w:val="0"/>
      </w:pPr>
      <w:r>
        <w:rPr>
          <w:sz w:val="28"/>
          <w:szCs w:val="28"/>
        </w:rPr>
        <w:t xml:space="preserve">от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25.08.2026 № 503</w:t>
      </w:r>
      <w:r/>
      <w:r>
        <w:rPr>
          <w:sz w:val="28"/>
          <w:szCs w:val="28"/>
        </w:rPr>
      </w:r>
      <w:r>
        <w:rPr>
          <w:b/>
          <w:bCs/>
          <w:sz w:val="36"/>
          <w:szCs w:val="36"/>
        </w:rPr>
      </w:r>
    </w:p>
    <w:p>
      <w:pPr>
        <w:jc w:val="center"/>
        <w:widowControl w:val="off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widowControl w:val="off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widowControl w:val="off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2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pStyle w:val="966"/>
        <w:jc w:val="center"/>
        <w:spacing w:line="238" w:lineRule="exact"/>
        <w:widowControl w:val="off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  <w:t xml:space="preserve">РЕЖИМ</w:t>
      </w:r>
      <w:r>
        <w:rPr>
          <w:b/>
          <w:bCs/>
          <w:sz w:val="28"/>
          <w:szCs w:val="28"/>
          <w:highlight w:val="none"/>
        </w:rPr>
        <w:t xml:space="preserve"> 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pStyle w:val="966"/>
        <w:jc w:val="center"/>
        <w:spacing w:line="238" w:lineRule="exact"/>
        <w:widowControl w:val="off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работы</w:t>
      </w:r>
      <w:r>
        <w:rPr>
          <w:b/>
          <w:sz w:val="28"/>
          <w:szCs w:val="28"/>
        </w:rPr>
        <w:t xml:space="preserve"> стационарных установок</w:t>
      </w:r>
      <w:r>
        <w:rPr>
          <w:b/>
          <w:sz w:val="28"/>
          <w:szCs w:val="28"/>
        </w:rPr>
        <w:t xml:space="preserve"> освещения, архитектурной подсветки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38" w:lineRule="exact"/>
        <w:widowControl w:val="off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</w:rPr>
        <w:t xml:space="preserve">и праздничной иллюминации на территории города Перми 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spacing w:line="238" w:lineRule="exact"/>
        <w:widowControl w:val="o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38" w:lineRule="exact"/>
        <w:widowControl w:val="off"/>
        <w:rPr>
          <w:b/>
          <w:bCs/>
          <w:sz w:val="28"/>
          <w:szCs w:val="28"/>
        </w:rPr>
      </w:pPr>
      <w:r>
        <w:rPr>
          <w:b/>
          <w:sz w:val="28"/>
          <w:szCs w:val="28"/>
          <w:highlight w:val="none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left="0" w:right="0" w:firstLine="709"/>
        <w:jc w:val="both"/>
        <w:spacing w:before="0" w:after="0"/>
        <w:rPr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Работа архитектурной подсветки и праздничной иллюминации </w:t>
        <w:br/>
        <w:t xml:space="preserve">на </w:t>
      </w:r>
      <w:r>
        <w:rPr>
          <w:sz w:val="28"/>
          <w:szCs w:val="28"/>
        </w:rPr>
        <w:t xml:space="preserve">территории </w:t>
      </w:r>
      <w:r>
        <w:rPr>
          <w:sz w:val="28"/>
          <w:szCs w:val="28"/>
        </w:rPr>
        <w:t xml:space="preserve">города Перми осуществляется в праздничном и монохромном режиме.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ind w:left="0" w:right="0" w:firstLine="709"/>
        <w:jc w:val="both"/>
        <w:spacing w:before="0" w:after="0"/>
        <w:rPr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  <w:t xml:space="preserve">В праздничном режиме работа архитектурной подсветки и праздничной иллюминации осуществляется в следующие даты</w:t>
      </w:r>
      <w:r>
        <w:rPr>
          <w:sz w:val="28"/>
          <w:szCs w:val="28"/>
        </w:rPr>
        <w:t xml:space="preserve">: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ind w:left="0" w:right="0" w:firstLine="709"/>
        <w:jc w:val="both"/>
        <w:spacing w:before="0" w:after="0"/>
        <w:rPr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  <w:t xml:space="preserve">Новый год и Рождество Христово </w:t>
      </w:r>
      <w:r>
        <w:rPr>
          <w:sz w:val="28"/>
          <w:szCs w:val="28"/>
        </w:rPr>
        <w:t xml:space="preserve">–</w:t>
      </w:r>
      <w:r>
        <w:rPr>
          <w:sz w:val="28"/>
          <w:szCs w:val="28"/>
        </w:rPr>
        <w:t xml:space="preserve"> с 31 декабря по 08 января;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ind w:left="0" w:right="0" w:firstLine="709"/>
        <w:jc w:val="both"/>
        <w:spacing w:before="0" w:after="0"/>
        <w:rPr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  <w:t xml:space="preserve">День защитника Отечества </w:t>
      </w:r>
      <w:r>
        <w:rPr>
          <w:sz w:val="28"/>
          <w:szCs w:val="28"/>
        </w:rPr>
        <w:t xml:space="preserve">–</w:t>
      </w:r>
      <w:r>
        <w:rPr>
          <w:sz w:val="28"/>
          <w:szCs w:val="28"/>
        </w:rPr>
        <w:t xml:space="preserve"> 23 февраля;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ind w:left="0" w:right="0" w:firstLine="709"/>
        <w:jc w:val="both"/>
        <w:spacing w:before="0" w:after="0"/>
        <w:rPr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  <w:t xml:space="preserve">Международный женский день </w:t>
      </w:r>
      <w:r>
        <w:rPr>
          <w:sz w:val="28"/>
          <w:szCs w:val="28"/>
        </w:rPr>
        <w:t xml:space="preserve">–</w:t>
      </w:r>
      <w:r>
        <w:rPr>
          <w:sz w:val="28"/>
          <w:szCs w:val="28"/>
        </w:rPr>
        <w:t xml:space="preserve"> 8 марта;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ind w:left="0" w:right="0" w:firstLine="709"/>
        <w:jc w:val="both"/>
        <w:spacing w:before="0" w:after="0"/>
        <w:rPr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  <w:t xml:space="preserve">Праздник Весны и Труда </w:t>
      </w:r>
      <w:r>
        <w:rPr>
          <w:sz w:val="28"/>
          <w:szCs w:val="28"/>
        </w:rPr>
        <w:t xml:space="preserve">–</w:t>
      </w:r>
      <w:r>
        <w:rPr>
          <w:sz w:val="28"/>
          <w:szCs w:val="28"/>
        </w:rPr>
        <w:t xml:space="preserve"> 1 мая;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ind w:left="0" w:right="0" w:firstLine="709"/>
        <w:jc w:val="both"/>
        <w:spacing w:before="0" w:after="0"/>
        <w:rPr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  <w:t xml:space="preserve">День Победы </w:t>
      </w:r>
      <w:r>
        <w:rPr>
          <w:sz w:val="28"/>
          <w:szCs w:val="28"/>
        </w:rPr>
        <w:t xml:space="preserve">–</w:t>
      </w:r>
      <w:r>
        <w:rPr>
          <w:sz w:val="28"/>
          <w:szCs w:val="28"/>
        </w:rPr>
        <w:t xml:space="preserve"> 9 мая;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ind w:left="0" w:right="0" w:firstLine="709"/>
        <w:jc w:val="both"/>
        <w:spacing w:before="0" w:after="0"/>
        <w:rPr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  <w:t xml:space="preserve">Международный день защиты детей </w:t>
      </w:r>
      <w:r>
        <w:rPr>
          <w:sz w:val="28"/>
          <w:szCs w:val="28"/>
        </w:rPr>
        <w:t xml:space="preserve">–</w:t>
      </w:r>
      <w:r>
        <w:rPr>
          <w:sz w:val="28"/>
          <w:szCs w:val="28"/>
        </w:rPr>
        <w:t xml:space="preserve"> 1 июня;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ind w:left="0" w:right="0" w:firstLine="709"/>
        <w:jc w:val="both"/>
        <w:spacing w:before="0" w:after="0"/>
        <w:rPr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  <w:t xml:space="preserve">День России и День города Перми </w:t>
      </w:r>
      <w:r>
        <w:rPr>
          <w:sz w:val="28"/>
          <w:szCs w:val="28"/>
        </w:rPr>
        <w:t xml:space="preserve">–</w:t>
      </w:r>
      <w:r>
        <w:rPr>
          <w:sz w:val="28"/>
          <w:szCs w:val="28"/>
        </w:rPr>
        <w:t xml:space="preserve"> 12 июня;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ind w:left="0" w:right="0" w:firstLine="709"/>
        <w:jc w:val="both"/>
        <w:spacing w:before="0" w:after="0"/>
        <w:rPr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  <w:t xml:space="preserve">День молодежи – последняя суббота июня;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ind w:left="0" w:right="0" w:firstLine="709"/>
        <w:jc w:val="both"/>
        <w:spacing w:before="0" w:after="0"/>
        <w:rPr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  <w:t xml:space="preserve">День Государственного флага Российской Федерации </w:t>
      </w:r>
      <w:r>
        <w:rPr>
          <w:sz w:val="28"/>
          <w:szCs w:val="28"/>
        </w:rPr>
        <w:t xml:space="preserve">–</w:t>
      </w:r>
      <w:r>
        <w:rPr>
          <w:sz w:val="28"/>
          <w:szCs w:val="28"/>
        </w:rPr>
        <w:t xml:space="preserve"> 22 августа;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ind w:left="0" w:right="0" w:firstLine="709"/>
        <w:jc w:val="both"/>
        <w:spacing w:before="0" w:after="0"/>
        <w:rPr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  <w:t xml:space="preserve">День знаний </w:t>
      </w:r>
      <w:r>
        <w:rPr>
          <w:sz w:val="28"/>
          <w:szCs w:val="28"/>
        </w:rPr>
        <w:t xml:space="preserve">–</w:t>
      </w:r>
      <w:r>
        <w:rPr>
          <w:sz w:val="28"/>
          <w:szCs w:val="28"/>
        </w:rPr>
        <w:t xml:space="preserve"> 1 сентября; 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ind w:left="0" w:right="0" w:firstLine="709"/>
        <w:jc w:val="both"/>
        <w:spacing w:before="0" w:after="0"/>
        <w:rPr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  <w:t xml:space="preserve">День народного единства </w:t>
      </w:r>
      <w:r>
        <w:rPr>
          <w:sz w:val="28"/>
          <w:szCs w:val="28"/>
        </w:rPr>
        <w:t xml:space="preserve">–</w:t>
      </w:r>
      <w:r>
        <w:rPr>
          <w:sz w:val="28"/>
          <w:szCs w:val="28"/>
        </w:rPr>
        <w:t xml:space="preserve"> 4 ноября;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ind w:left="0" w:right="0" w:firstLine="709"/>
        <w:jc w:val="both"/>
        <w:spacing w:before="0" w:after="0"/>
        <w:rPr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  <w:t xml:space="preserve">День матери – последнее воскресенье ноября;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ind w:left="0" w:right="0" w:firstLine="709"/>
        <w:jc w:val="both"/>
        <w:spacing w:before="0" w:after="0"/>
        <w:rPr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  <w:t xml:space="preserve">День Конституции </w:t>
      </w:r>
      <w:r>
        <w:rPr>
          <w:sz w:val="28"/>
          <w:szCs w:val="28"/>
        </w:rPr>
        <w:t xml:space="preserve">Российской Федерации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</w:t>
      </w:r>
      <w:r>
        <w:rPr>
          <w:sz w:val="28"/>
          <w:szCs w:val="28"/>
        </w:rPr>
        <w:t xml:space="preserve"> 12 декабря.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ind w:left="0" w:right="0" w:firstLine="720"/>
        <w:jc w:val="both"/>
        <w:spacing w:before="0" w:after="0"/>
        <w:rPr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  <w:highlight w:val="none"/>
          <w14:ligatures w14:val="none"/>
        </w:rPr>
        <w:t xml:space="preserve">В случае, если праздничному дню, указанному в настоящем пункте, предшествуют и/или за ним следуют выходной день/выходные дни, праздничный режим подлежит включению с начала таких выходных дней и подлежит выключению с окончанием таких выходных дней.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ind w:left="0" w:right="0" w:firstLine="720"/>
        <w:jc w:val="both"/>
        <w:spacing w:before="0" w:after="0"/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14:ligatures w14:val="none"/>
        </w:rPr>
        <w:t xml:space="preserve">В монохромном режиме работа архитектурной подсветки и праздничной иллюминации на территории города Перми осуществляется во все дни, </w:t>
        <w:br/>
        <w:t xml:space="preserve">за исключением дней, в которые настоящим пунктом предусмотрена работа </w:t>
        <w:br/>
        <w:t xml:space="preserve">в праздничном режиме.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rPr>
          <w:rFonts w:eastAsia="Calibri"/>
          <w:sz w:val="28"/>
          <w:szCs w:val="28"/>
          <w:highlight w:val="white"/>
        </w:rPr>
      </w:pPr>
      <w:r>
        <w:rPr>
          <w:spacing w:val="-2"/>
          <w:sz w:val="28"/>
          <w:szCs w:val="28"/>
          <w:highlight w:val="none"/>
        </w:rPr>
        <w:t xml:space="preserve">2. </w:t>
      </w:r>
      <w:r>
        <w:rPr>
          <w:spacing w:val="-2"/>
          <w:sz w:val="28"/>
          <w:szCs w:val="28"/>
          <w:highlight w:val="none"/>
        </w:rPr>
        <w:t xml:space="preserve">В </w:t>
      </w:r>
      <w:r>
        <w:rPr>
          <w:spacing w:val="-2"/>
          <w:sz w:val="28"/>
          <w:szCs w:val="28"/>
          <w:highlight w:val="none"/>
        </w:rPr>
        <w:t xml:space="preserve">период</w:t>
      </w:r>
      <w:r>
        <w:rPr>
          <w:rFonts w:eastAsia="Calibri"/>
          <w:sz w:val="28"/>
          <w:szCs w:val="28"/>
        </w:rPr>
        <w:t xml:space="preserve"> </w:t>
      </w:r>
      <w:r>
        <w:rPr>
          <w:spacing w:val="-2"/>
          <w:sz w:val="28"/>
          <w:szCs w:val="28"/>
          <w:highlight w:val="none"/>
        </w:rPr>
        <w:t xml:space="preserve">с 00.00 час. до 06.00 час.</w:t>
      </w:r>
      <w:r>
        <w:rPr>
          <w:spacing w:val="-2"/>
          <w:sz w:val="28"/>
          <w:szCs w:val="28"/>
          <w:highlight w:val="none"/>
        </w:rPr>
        <w:t xml:space="preserve"> </w:t>
      </w:r>
      <w:r>
        <w:rPr>
          <w:spacing w:val="-2"/>
          <w:sz w:val="28"/>
          <w:szCs w:val="28"/>
          <w:highlight w:val="none"/>
        </w:rPr>
        <w:t xml:space="preserve">стационарные установки освещен</w:t>
      </w:r>
      <w:r>
        <w:rPr>
          <w:spacing w:val="-2"/>
          <w:sz w:val="28"/>
          <w:szCs w:val="28"/>
          <w:highlight w:val="none"/>
        </w:rPr>
        <w:t xml:space="preserve">ия </w:t>
        <w:br/>
        <w:t xml:space="preserve">и </w:t>
      </w:r>
      <w:r>
        <w:rPr>
          <w:spacing w:val="-2"/>
          <w:sz w:val="28"/>
          <w:szCs w:val="28"/>
          <w:highlight w:val="none"/>
        </w:rPr>
        <w:t xml:space="preserve">праздничная иллюминация переводятся в ночной режим работы </w:t>
      </w:r>
      <w:r>
        <w:rPr>
          <w:rFonts w:eastAsia="Calibri"/>
          <w:sz w:val="28"/>
          <w:szCs w:val="28"/>
        </w:rPr>
        <w:t xml:space="preserve">путем отключения части осветительных приборов, но не более 50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% све</w:t>
      </w:r>
      <w:r>
        <w:rPr>
          <w:rFonts w:eastAsia="Calibri"/>
          <w:sz w:val="28"/>
          <w:szCs w:val="28"/>
        </w:rPr>
        <w:t xml:space="preserve">тильников </w:t>
        <w:br/>
        <w:t xml:space="preserve">при условии соблюдения требований </w:t>
      </w:r>
      <w:r>
        <w:rPr>
          <w:rFonts w:eastAsia="Calibri"/>
          <w:sz w:val="28"/>
          <w:szCs w:val="28"/>
          <w:highlight w:val="white"/>
        </w:rPr>
        <w:t xml:space="preserve">национальных стандартов Российской Федерации, устанавливающих требования к освещению улично-дорожной сети.</w:t>
      </w:r>
      <w:r>
        <w:rPr>
          <w:rFonts w:eastAsia="Calibri"/>
          <w:sz w:val="28"/>
          <w:szCs w:val="28"/>
          <w:highlight w:val="white"/>
        </w:rPr>
      </w:r>
      <w:r>
        <w:rPr>
          <w:rFonts w:eastAsia="Calibri"/>
          <w:sz w:val="28"/>
          <w:szCs w:val="28"/>
          <w:highlight w:val="white"/>
        </w:rPr>
      </w:r>
    </w:p>
    <w:p>
      <w:pPr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highlight w:val="none"/>
        </w:rPr>
      </w:r>
      <w:r>
        <w:rPr>
          <w:spacing w:val="-2"/>
          <w:sz w:val="28"/>
          <w:szCs w:val="28"/>
          <w:highlight w:val="none"/>
        </w:rPr>
        <w:t xml:space="preserve">П</w:t>
      </w:r>
      <w:r>
        <w:rPr>
          <w:spacing w:val="-2"/>
          <w:sz w:val="28"/>
          <w:szCs w:val="28"/>
          <w:highlight w:val="none"/>
        </w:rPr>
        <w:t xml:space="preserve">ри переходе в ночной режим работы н</w:t>
      </w:r>
      <w:r>
        <w:rPr>
          <w:spacing w:val="-2"/>
          <w:sz w:val="28"/>
          <w:szCs w:val="28"/>
          <w:highlight w:val="none"/>
        </w:rPr>
        <w:t xml:space="preserve">е </w:t>
      </w:r>
      <w:r>
        <w:rPr>
          <w:spacing w:val="-2"/>
          <w:sz w:val="28"/>
          <w:szCs w:val="28"/>
          <w:highlight w:val="none"/>
        </w:rPr>
        <w:t xml:space="preserve">допускается отключение осветительных приборов (светильников) стационарных установок освещения </w:t>
        <w:br/>
        <w:t xml:space="preserve">или снижение освещенности поверхности проезжей части в местах пешеходных переходов, за исключением случаев аварийного нарушения электроснабжения.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firstLine="720"/>
        <w:jc w:val="both"/>
        <w:rPr>
          <w:spacing w:val="-2"/>
          <w:sz w:val="28"/>
          <w:szCs w:val="28"/>
          <w:highlight w:val="none"/>
        </w:rPr>
      </w:pPr>
      <w:r>
        <w:rPr>
          <w:rFonts w:eastAsia="Calibri"/>
          <w:sz w:val="28"/>
          <w:szCs w:val="28"/>
        </w:rPr>
        <w:t xml:space="preserve">А</w:t>
      </w:r>
      <w:r>
        <w:rPr>
          <w:spacing w:val="-2"/>
          <w:sz w:val="28"/>
          <w:szCs w:val="28"/>
          <w:highlight w:val="none"/>
        </w:rPr>
        <w:t xml:space="preserve">рхитектурная подсветка отключается с 01.00 час. до 06.00 час.</w:t>
      </w:r>
      <w:r>
        <w:rPr>
          <w:spacing w:val="-2"/>
          <w:sz w:val="28"/>
          <w:szCs w:val="28"/>
          <w:highlight w:val="none"/>
        </w:rPr>
      </w:r>
      <w:r>
        <w:rPr>
          <w:spacing w:val="-2"/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spacing w:val="-2"/>
          <w:sz w:val="28"/>
          <w:szCs w:val="28"/>
          <w:highlight w:val="none"/>
          <w14:ligatures w14:val="none"/>
        </w:rPr>
      </w:pPr>
      <w:r>
        <w:rPr>
          <w:spacing w:val="-2"/>
          <w:sz w:val="28"/>
          <w:szCs w:val="28"/>
          <w:highlight w:val="none"/>
        </w:rPr>
        <w:t xml:space="preserve">3. Не допускается отклонение от </w:t>
      </w:r>
      <w:r>
        <w:rPr>
          <w:spacing w:val="-2"/>
          <w:sz w:val="28"/>
          <w:szCs w:val="28"/>
          <w:highlight w:val="none"/>
        </w:rPr>
        <w:t xml:space="preserve">времени включения и выключения </w:t>
      </w:r>
      <w:r>
        <w:rPr>
          <w:spacing w:val="-2"/>
          <w:sz w:val="28"/>
          <w:szCs w:val="28"/>
          <w:highlight w:val="none"/>
        </w:rPr>
        <w:t xml:space="preserve">указанного в графике</w:t>
      </w:r>
      <w:r>
        <w:rPr>
          <w:spacing w:val="-2"/>
          <w:sz w:val="28"/>
          <w:szCs w:val="28"/>
          <w:highlight w:val="none"/>
        </w:rPr>
        <w:t xml:space="preserve"> работы стационарных установок освещения, архитектурной подсветки и праздничной иллюминации на территории города Перми (далее – График) </w:t>
      </w:r>
      <w:r>
        <w:rPr>
          <w:spacing w:val="-2"/>
          <w:sz w:val="28"/>
          <w:szCs w:val="28"/>
          <w:highlight w:val="none"/>
        </w:rPr>
        <w:t xml:space="preserve">более</w:t>
      </w:r>
      <w:r>
        <w:rPr>
          <w:spacing w:val="-2"/>
          <w:sz w:val="28"/>
          <w:szCs w:val="28"/>
          <w:highlight w:val="none"/>
        </w:rPr>
        <w:t xml:space="preserve"> 3 мин. для стационарных установок</w:t>
      </w:r>
      <w:r>
        <w:rPr>
          <w:spacing w:val="-2"/>
          <w:sz w:val="28"/>
          <w:szCs w:val="28"/>
          <w:highlight w:val="none"/>
        </w:rPr>
        <w:t xml:space="preserve"> освещения</w:t>
      </w:r>
      <w:r>
        <w:rPr>
          <w:spacing w:val="-2"/>
          <w:sz w:val="28"/>
          <w:szCs w:val="28"/>
          <w:highlight w:val="none"/>
        </w:rPr>
        <w:t xml:space="preserve">, более 15 мин. </w:t>
        <w:br/>
        <w:t xml:space="preserve">для арх</w:t>
      </w:r>
      <w:r>
        <w:rPr>
          <w:spacing w:val="-2"/>
          <w:sz w:val="28"/>
          <w:szCs w:val="28"/>
          <w:highlight w:val="none"/>
        </w:rPr>
        <w:t xml:space="preserve">и</w:t>
      </w:r>
      <w:r>
        <w:rPr>
          <w:spacing w:val="-2"/>
          <w:sz w:val="28"/>
          <w:szCs w:val="28"/>
          <w:highlight w:val="none"/>
        </w:rPr>
        <w:t xml:space="preserve">тектурной подсветки и праздничной иллюминации.</w:t>
      </w:r>
      <w:r>
        <w:rPr>
          <w:spacing w:val="-2"/>
          <w:sz w:val="28"/>
          <w:szCs w:val="28"/>
          <w:highlight w:val="none"/>
        </w:rPr>
        <w:t xml:space="preserve"> </w:t>
      </w:r>
      <w:r>
        <w:rPr>
          <w:spacing w:val="-2"/>
          <w:sz w:val="28"/>
          <w:szCs w:val="28"/>
          <w:highlight w:val="none"/>
          <w14:ligatures w14:val="none"/>
        </w:rPr>
      </w:r>
      <w:r>
        <w:rPr>
          <w:spacing w:val="-2"/>
          <w:sz w:val="28"/>
          <w:szCs w:val="28"/>
          <w:highlight w:val="none"/>
          <w14:ligatures w14:val="none"/>
        </w:rPr>
      </w:r>
    </w:p>
    <w:p>
      <w:pPr>
        <w:ind w:left="0" w:right="0" w:firstLine="709"/>
        <w:jc w:val="both"/>
        <w:rPr>
          <w:sz w:val="28"/>
          <w:szCs w:val="28"/>
          <w:highlight w:val="none"/>
          <w14:ligatures w14:val="none"/>
        </w:rPr>
      </w:pPr>
      <w:r>
        <w:rPr>
          <w:spacing w:val="-2"/>
          <w:sz w:val="28"/>
          <w:szCs w:val="28"/>
          <w:highlight w:val="none"/>
        </w:rPr>
        <w:t xml:space="preserve">П</w:t>
      </w:r>
      <w:r>
        <w:rPr>
          <w:spacing w:val="-2"/>
          <w:sz w:val="28"/>
          <w:szCs w:val="28"/>
          <w:highlight w:val="none"/>
        </w:rPr>
        <w:t xml:space="preserve">ри неблагоприятных погодных условиях, ухудшающих видимость </w:t>
        <w:br/>
        <w:t xml:space="preserve">на автомобильных дорогах,</w:t>
      </w:r>
      <w:r>
        <w:rPr>
          <w:spacing w:val="-2"/>
          <w:sz w:val="28"/>
          <w:szCs w:val="28"/>
          <w:highlight w:val="none"/>
        </w:rPr>
        <w:t xml:space="preserve"> допускается вкл</w:t>
      </w:r>
      <w:r>
        <w:rPr>
          <w:spacing w:val="-2"/>
          <w:sz w:val="28"/>
          <w:szCs w:val="28"/>
          <w:highlight w:val="none"/>
        </w:rPr>
        <w:t xml:space="preserve">ю</w:t>
      </w:r>
      <w:r>
        <w:rPr>
          <w:spacing w:val="-2"/>
          <w:sz w:val="28"/>
          <w:szCs w:val="28"/>
          <w:highlight w:val="none"/>
        </w:rPr>
        <w:t xml:space="preserve">чение стационарных установок освещения на 30 мин. раньше и выключение </w:t>
      </w:r>
      <w:r>
        <w:rPr>
          <w:spacing w:val="-2"/>
          <w:sz w:val="28"/>
          <w:szCs w:val="28"/>
          <w:highlight w:val="none"/>
        </w:rPr>
        <w:t xml:space="preserve">на 30 мин. позднее </w:t>
      </w:r>
      <w:r>
        <w:rPr>
          <w:spacing w:val="-2"/>
          <w:sz w:val="28"/>
          <w:szCs w:val="28"/>
          <w:highlight w:val="none"/>
        </w:rPr>
        <w:t xml:space="preserve">указанного </w:t>
        <w:br/>
        <w:t xml:space="preserve">в Графике времени</w:t>
      </w:r>
      <w:r>
        <w:rPr>
          <w:spacing w:val="-2"/>
          <w:sz w:val="28"/>
          <w:szCs w:val="28"/>
          <w:highlight w:val="none"/>
        </w:rPr>
        <w:t xml:space="preserve">.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pStyle w:val="966"/>
        <w:ind w:firstLine="720"/>
        <w:jc w:val="both"/>
        <w:rPr>
          <w:spacing w:val="-2"/>
          <w:sz w:val="28"/>
          <w:szCs w:val="28"/>
          <w:highlight w:val="none"/>
        </w:rPr>
      </w:pPr>
      <w:r>
        <w:rPr>
          <w:spacing w:val="-2"/>
          <w:sz w:val="28"/>
          <w:szCs w:val="28"/>
          <w:highlight w:val="none"/>
        </w:rPr>
      </w:r>
      <w:r>
        <w:rPr>
          <w:spacing w:val="-2"/>
          <w:sz w:val="28"/>
          <w:szCs w:val="28"/>
          <w:highlight w:val="none"/>
        </w:rPr>
      </w:r>
      <w:r>
        <w:rPr>
          <w:spacing w:val="-2"/>
          <w:sz w:val="28"/>
          <w:szCs w:val="28"/>
          <w:highlight w:val="none"/>
        </w:rPr>
      </w:r>
    </w:p>
    <w:p>
      <w:pPr>
        <w:ind w:left="0" w:right="0" w:firstLine="720"/>
        <w:jc w:val="both"/>
        <w:spacing w:before="0" w:after="0"/>
        <w:rPr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sectPr>
      <w:footnotePr/>
      <w:endnotePr/>
      <w:type w:val="nextPage"/>
      <w:pgSz w:w="11900" w:h="16820" w:orient="portrait"/>
      <w:pgMar w:top="1134" w:right="567" w:bottom="1134" w:left="1417" w:header="363" w:footer="720" w:gutter="0"/>
      <w:pgNumType w:start="1"/>
      <w:cols w:num="1" w:sep="0" w:space="6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10000000000000000"/>
  </w:font>
  <w:font w:name="Symbol">
    <w:panose1 w:val="05010000000000000000"/>
  </w:font>
  <w:font w:name="Tahoma">
    <w:panose1 w:val="020B06040305040402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18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16"/>
      <w:jc w:val="center"/>
    </w:pPr>
    <w:fldSimple w:instr="PAGE \* MERGEFORMAT">
      <w:r>
        <w:rPr>
          <w:sz w:val="28"/>
          <w:szCs w:val="28"/>
        </w:rPr>
        <w:t xml:space="preserve">1</w:t>
      </w:r>
    </w:fldSimple>
    <w:r>
      <w:rPr>
        <w:sz w:val="28"/>
        <w:szCs w:val="28"/>
      </w:rPr>
    </w:r>
    <w:r>
      <w:rPr>
        <w:sz w:val="28"/>
        <w:szCs w:val="28"/>
      </w:rPr>
    </w:r>
    <w:r/>
  </w:p>
  <w:p>
    <w:pPr>
      <w:pStyle w:val="81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3.1.%1."/>
      <w:lvlJc w:val="left"/>
      <w:pPr>
        <w:ind w:left="12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decimal"/>
      <w:isLgl w:val="false"/>
      <w:suff w:val="tab"/>
      <w:lvlText w:val="%1.%2"/>
      <w:lvlJc w:val="left"/>
      <w:pPr>
        <w:ind w:left="1170" w:hanging="450"/>
      </w:pPr>
    </w:lvl>
    <w:lvl w:ilvl="2">
      <w:start w:val="1"/>
      <w:numFmt w:val="decimal"/>
      <w:isLgl w:val="false"/>
      <w:suff w:val="tab"/>
      <w:lvlText w:val="%1.%2.%3"/>
      <w:lvlJc w:val="left"/>
      <w:pPr>
        <w:ind w:left="1440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1800" w:hanging="108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800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2160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2160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2520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880" w:hanging="2160"/>
      </w:pPr>
    </w:lvl>
  </w:abstractNum>
  <w:abstractNum w:abstractNumId="2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825" w:hanging="825"/>
      </w:pPr>
    </w:lvl>
    <w:lvl w:ilvl="1">
      <w:start w:val="1"/>
      <w:numFmt w:val="decimal"/>
      <w:isLgl w:val="false"/>
      <w:suff w:val="tab"/>
      <w:lvlText w:val="%1.%2."/>
      <w:lvlJc w:val="left"/>
      <w:pPr>
        <w:ind w:left="1005" w:hanging="825"/>
      </w:pPr>
    </w:lvl>
    <w:lvl w:ilvl="2">
      <w:start w:val="14"/>
      <w:numFmt w:val="decimal"/>
      <w:isLgl w:val="false"/>
      <w:suff w:val="tab"/>
      <w:lvlText w:val="%1.%2.%3."/>
      <w:lvlJc w:val="left"/>
      <w:pPr>
        <w:ind w:left="1185" w:hanging="825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62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3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88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06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600" w:hanging="216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decimal"/>
      <w:isLgl w:val="false"/>
      <w:suff w:val="tab"/>
      <w:lvlText w:val="%1.%2"/>
      <w:lvlJc w:val="left"/>
      <w:pPr>
        <w:ind w:left="1170" w:hanging="450"/>
      </w:pPr>
    </w:lvl>
    <w:lvl w:ilvl="2">
      <w:start w:val="1"/>
      <w:numFmt w:val="decimal"/>
      <w:isLgl w:val="false"/>
      <w:suff w:val="tab"/>
      <w:lvlText w:val="%1.%2.%3"/>
      <w:lvlJc w:val="left"/>
      <w:pPr>
        <w:ind w:left="1440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1800" w:hanging="108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800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2160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2160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2520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880" w:hanging="216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decimal"/>
      <w:isLgl w:val="false"/>
      <w:suff w:val="tab"/>
      <w:lvlText w:val="%1.%2"/>
      <w:lvlJc w:val="left"/>
      <w:pPr>
        <w:ind w:left="1170" w:hanging="450"/>
      </w:pPr>
    </w:lvl>
    <w:lvl w:ilvl="2">
      <w:start w:val="1"/>
      <w:numFmt w:val="decimal"/>
      <w:isLgl w:val="false"/>
      <w:suff w:val="tab"/>
      <w:lvlText w:val="%1.%2.%3"/>
      <w:lvlJc w:val="left"/>
      <w:pPr>
        <w:ind w:left="1440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1800" w:hanging="108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800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2160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2160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2520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880" w:hanging="216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decimal"/>
      <w:isLgl w:val="false"/>
      <w:suff w:val="tab"/>
      <w:lvlText w:val="%1.%2"/>
      <w:lvlJc w:val="left"/>
      <w:pPr>
        <w:ind w:left="1170" w:hanging="450"/>
      </w:pPr>
    </w:lvl>
    <w:lvl w:ilvl="2">
      <w:start w:val="1"/>
      <w:numFmt w:val="decimal"/>
      <w:isLgl w:val="false"/>
      <w:suff w:val="tab"/>
      <w:lvlText w:val="%1.%2.%3"/>
      <w:lvlJc w:val="left"/>
      <w:pPr>
        <w:ind w:left="1440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1800" w:hanging="108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800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2160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2160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2520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880" w:hanging="216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70" w:hanging="570"/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</w:lvl>
  </w:abstractNum>
  <w:abstractNum w:abstractNumId="7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decimal"/>
      <w:isLgl w:val="false"/>
      <w:suff w:val="tab"/>
      <w:lvlText w:val="%1.%2"/>
      <w:lvlJc w:val="left"/>
      <w:pPr>
        <w:ind w:left="1170" w:hanging="450"/>
      </w:pPr>
    </w:lvl>
    <w:lvl w:ilvl="2">
      <w:start w:val="1"/>
      <w:numFmt w:val="decimal"/>
      <w:isLgl w:val="false"/>
      <w:suff w:val="tab"/>
      <w:lvlText w:val="%1.%2.%3"/>
      <w:lvlJc w:val="left"/>
      <w:pPr>
        <w:ind w:left="1440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1800" w:hanging="108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800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2160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2160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2520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880" w:hanging="216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decimal"/>
      <w:isLgl w:val="false"/>
      <w:suff w:val="tab"/>
      <w:lvlText w:val="%1.%2"/>
      <w:lvlJc w:val="left"/>
      <w:pPr>
        <w:ind w:left="1170" w:hanging="450"/>
      </w:pPr>
    </w:lvl>
    <w:lvl w:ilvl="2">
      <w:start w:val="1"/>
      <w:numFmt w:val="decimal"/>
      <w:isLgl w:val="false"/>
      <w:suff w:val="tab"/>
      <w:lvlText w:val="%1.%2.%3"/>
      <w:lvlJc w:val="left"/>
      <w:pPr>
        <w:ind w:left="1440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1800" w:hanging="108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800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2160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2160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2520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880" w:hanging="216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decimal"/>
      <w:isLgl w:val="false"/>
      <w:suff w:val="tab"/>
      <w:lvlText w:val="%1.%2"/>
      <w:lvlJc w:val="left"/>
      <w:pPr>
        <w:ind w:left="1170" w:hanging="450"/>
      </w:pPr>
    </w:lvl>
    <w:lvl w:ilvl="2">
      <w:start w:val="1"/>
      <w:numFmt w:val="decimal"/>
      <w:isLgl w:val="false"/>
      <w:suff w:val="tab"/>
      <w:lvlText w:val="%1.%2.%3"/>
      <w:lvlJc w:val="left"/>
      <w:pPr>
        <w:ind w:left="1440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1800" w:hanging="108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800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2160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2160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2520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880" w:hanging="216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decimal"/>
      <w:isLgl w:val="false"/>
      <w:suff w:val="tab"/>
      <w:lvlText w:val="%1.%2"/>
      <w:lvlJc w:val="left"/>
      <w:pPr>
        <w:ind w:left="1170" w:hanging="450"/>
      </w:pPr>
    </w:lvl>
    <w:lvl w:ilvl="2">
      <w:start w:val="1"/>
      <w:numFmt w:val="decimal"/>
      <w:isLgl w:val="false"/>
      <w:suff w:val="tab"/>
      <w:lvlText w:val="%1.%2.%3"/>
      <w:lvlJc w:val="left"/>
      <w:pPr>
        <w:ind w:left="1440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1800" w:hanging="108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800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2160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2160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2520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880" w:hanging="216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decimal"/>
      <w:isLgl w:val="false"/>
      <w:suff w:val="tab"/>
      <w:lvlText w:val="1.%2."/>
      <w:lvlJc w:val="left"/>
      <w:pPr>
        <w:ind w:left="1170" w:hanging="450"/>
      </w:pPr>
    </w:lvl>
    <w:lvl w:ilvl="2">
      <w:start w:val="1"/>
      <w:numFmt w:val="decimal"/>
      <w:isLgl w:val="false"/>
      <w:suff w:val="tab"/>
      <w:lvlText w:val="%1.%2.%3"/>
      <w:lvlJc w:val="left"/>
      <w:pPr>
        <w:ind w:left="1440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1800" w:hanging="108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800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2160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2160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2520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880" w:hanging="216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decimal"/>
      <w:isLgl w:val="false"/>
      <w:suff w:val="tab"/>
      <w:lvlText w:val="%1.%2"/>
      <w:lvlJc w:val="left"/>
      <w:pPr>
        <w:ind w:left="1170" w:hanging="450"/>
      </w:pPr>
    </w:lvl>
    <w:lvl w:ilvl="2">
      <w:start w:val="1"/>
      <w:numFmt w:val="decimal"/>
      <w:isLgl w:val="false"/>
      <w:suff w:val="tab"/>
      <w:lvlText w:val="%1.%2.%3"/>
      <w:lvlJc w:val="left"/>
      <w:pPr>
        <w:ind w:left="1440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1800" w:hanging="108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800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2160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2160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2520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880" w:hanging="216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decimal"/>
      <w:isLgl w:val="false"/>
      <w:suff w:val="tab"/>
      <w:lvlText w:val="%1.%2"/>
      <w:lvlJc w:val="left"/>
      <w:pPr>
        <w:ind w:left="1170" w:hanging="450"/>
      </w:pPr>
    </w:lvl>
    <w:lvl w:ilvl="2">
      <w:start w:val="1"/>
      <w:numFmt w:val="decimal"/>
      <w:isLgl w:val="false"/>
      <w:suff w:val="tab"/>
      <w:lvlText w:val="%1.%2.%3"/>
      <w:lvlJc w:val="left"/>
      <w:pPr>
        <w:ind w:left="1440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1800" w:hanging="108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800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2160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2160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2520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880" w:hanging="216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decimal"/>
      <w:isLgl w:val="false"/>
      <w:suff w:val="tab"/>
      <w:lvlText w:val="%1.%2"/>
      <w:lvlJc w:val="left"/>
      <w:pPr>
        <w:ind w:left="1170" w:hanging="450"/>
      </w:pPr>
    </w:lvl>
    <w:lvl w:ilvl="2">
      <w:start w:val="1"/>
      <w:numFmt w:val="decimal"/>
      <w:isLgl w:val="false"/>
      <w:suff w:val="tab"/>
      <w:lvlText w:val="%1.%2.%3"/>
      <w:lvlJc w:val="left"/>
      <w:pPr>
        <w:ind w:left="1440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1800" w:hanging="108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800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2160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2160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2520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880" w:hanging="216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decimal"/>
      <w:isLgl w:val="false"/>
      <w:suff w:val="tab"/>
      <w:lvlText w:val="%1.%2"/>
      <w:lvlJc w:val="left"/>
      <w:pPr>
        <w:ind w:left="1170" w:hanging="450"/>
      </w:pPr>
    </w:lvl>
    <w:lvl w:ilvl="2">
      <w:start w:val="1"/>
      <w:numFmt w:val="decimal"/>
      <w:isLgl w:val="false"/>
      <w:suff w:val="tab"/>
      <w:lvlText w:val="%1.%2.%3"/>
      <w:lvlJc w:val="left"/>
      <w:pPr>
        <w:ind w:left="1440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1800" w:hanging="108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800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2160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2160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2520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880" w:hanging="216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decimal"/>
      <w:isLgl w:val="false"/>
      <w:suff w:val="tab"/>
      <w:lvlText w:val="%1.%2"/>
      <w:lvlJc w:val="left"/>
      <w:pPr>
        <w:ind w:left="1170" w:hanging="450"/>
      </w:pPr>
    </w:lvl>
    <w:lvl w:ilvl="2">
      <w:start w:val="1"/>
      <w:numFmt w:val="decimal"/>
      <w:isLgl w:val="false"/>
      <w:suff w:val="tab"/>
      <w:lvlText w:val="%1.%2.%3"/>
      <w:lvlJc w:val="left"/>
      <w:pPr>
        <w:ind w:left="1440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1800" w:hanging="108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800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2160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2160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2520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880" w:hanging="216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decimal"/>
      <w:isLgl w:val="false"/>
      <w:suff w:val="tab"/>
      <w:lvlText w:val="%1.%2"/>
      <w:lvlJc w:val="left"/>
      <w:pPr>
        <w:ind w:left="1170" w:hanging="450"/>
      </w:pPr>
    </w:lvl>
    <w:lvl w:ilvl="2">
      <w:start w:val="1"/>
      <w:numFmt w:val="decimal"/>
      <w:isLgl w:val="false"/>
      <w:suff w:val="tab"/>
      <w:lvlText w:val="%1.%2.%3"/>
      <w:lvlJc w:val="left"/>
      <w:pPr>
        <w:ind w:left="1440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1800" w:hanging="108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800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2160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2160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2520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880" w:hanging="216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decimal"/>
      <w:isLgl w:val="false"/>
      <w:suff w:val="tab"/>
      <w:lvlText w:val="%1.%2"/>
      <w:lvlJc w:val="left"/>
      <w:pPr>
        <w:ind w:left="1170" w:hanging="450"/>
      </w:pPr>
    </w:lvl>
    <w:lvl w:ilvl="2">
      <w:start w:val="1"/>
      <w:numFmt w:val="decimal"/>
      <w:isLgl w:val="false"/>
      <w:suff w:val="tab"/>
      <w:lvlText w:val="%1.%2.%3"/>
      <w:lvlJc w:val="left"/>
      <w:pPr>
        <w:ind w:left="1440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1800" w:hanging="108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800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2160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2160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2520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880" w:hanging="216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decimal"/>
      <w:isLgl w:val="false"/>
      <w:suff w:val="tab"/>
      <w:lvlText w:val="%1.%2"/>
      <w:lvlJc w:val="left"/>
      <w:pPr>
        <w:ind w:left="1170" w:hanging="450"/>
      </w:pPr>
    </w:lvl>
    <w:lvl w:ilvl="2">
      <w:start w:val="1"/>
      <w:numFmt w:val="decimal"/>
      <w:isLgl w:val="false"/>
      <w:suff w:val="tab"/>
      <w:lvlText w:val="%1.%2.%3"/>
      <w:lvlJc w:val="left"/>
      <w:pPr>
        <w:ind w:left="1440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1800" w:hanging="108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800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2160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2160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2520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880" w:hanging="216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decimal"/>
      <w:isLgl w:val="false"/>
      <w:suff w:val="tab"/>
      <w:lvlText w:val="%1.%2"/>
      <w:lvlJc w:val="left"/>
      <w:pPr>
        <w:ind w:left="1170" w:hanging="450"/>
      </w:pPr>
    </w:lvl>
    <w:lvl w:ilvl="2">
      <w:start w:val="1"/>
      <w:numFmt w:val="decimal"/>
      <w:isLgl w:val="false"/>
      <w:suff w:val="tab"/>
      <w:lvlText w:val="%1.%2.%3"/>
      <w:lvlJc w:val="left"/>
      <w:pPr>
        <w:ind w:left="1440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1800" w:hanging="108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800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2160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2160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2520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880" w:hanging="216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decimal"/>
      <w:isLgl w:val="false"/>
      <w:suff w:val="tab"/>
      <w:lvlText w:val="1.%2."/>
      <w:lvlJc w:val="left"/>
      <w:pPr>
        <w:ind w:left="1170" w:hanging="450"/>
      </w:pPr>
    </w:lvl>
    <w:lvl w:ilvl="2">
      <w:start w:val="1"/>
      <w:numFmt w:val="decimal"/>
      <w:isLgl w:val="false"/>
      <w:suff w:val="tab"/>
      <w:lvlText w:val="%1.%2.%3"/>
      <w:lvlJc w:val="left"/>
      <w:pPr>
        <w:ind w:left="1440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1800" w:hanging="108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800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2160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2160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2520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880" w:hanging="216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decimal"/>
      <w:isLgl w:val="false"/>
      <w:suff w:val="tab"/>
      <w:lvlText w:val="%1.%2"/>
      <w:lvlJc w:val="left"/>
      <w:pPr>
        <w:ind w:left="1170" w:hanging="450"/>
      </w:pPr>
    </w:lvl>
    <w:lvl w:ilvl="2">
      <w:start w:val="1"/>
      <w:numFmt w:val="decimal"/>
      <w:isLgl w:val="false"/>
      <w:suff w:val="tab"/>
      <w:lvlText w:val="%1.%2.%3"/>
      <w:lvlJc w:val="left"/>
      <w:pPr>
        <w:ind w:left="1440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1800" w:hanging="108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800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2160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2160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2520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880" w:hanging="216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720"/>
      </w:pPr>
    </w:lvl>
    <w:lvl w:ilvl="1">
      <w:start w:val="1"/>
      <w:numFmt w:val="decimal"/>
      <w:isLgl w:val="false"/>
      <w:suff w:val="tab"/>
      <w:lvlText w:val="%1.%2"/>
      <w:lvlJc w:val="left"/>
      <w:pPr>
        <w:ind w:left="1455" w:hanging="375"/>
      </w:pPr>
    </w:lvl>
    <w:lvl w:ilvl="2">
      <w:start w:val="1"/>
      <w:numFmt w:val="decimal"/>
      <w:isLgl w:val="false"/>
      <w:suff w:val="tab"/>
      <w:lvlText w:val="%1.%2.%3"/>
      <w:lvlJc w:val="left"/>
      <w:pPr>
        <w:ind w:left="2520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3600" w:hanging="108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4320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5400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6120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7200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8280" w:hanging="216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decimal"/>
      <w:isLgl w:val="false"/>
      <w:suff w:val="tab"/>
      <w:lvlText w:val="%1.%2"/>
      <w:lvlJc w:val="left"/>
      <w:pPr>
        <w:ind w:left="1170" w:hanging="450"/>
      </w:pPr>
    </w:lvl>
    <w:lvl w:ilvl="2">
      <w:start w:val="1"/>
      <w:numFmt w:val="decimal"/>
      <w:isLgl w:val="false"/>
      <w:suff w:val="tab"/>
      <w:lvlText w:val="%1.%2.%3"/>
      <w:lvlJc w:val="left"/>
      <w:pPr>
        <w:ind w:left="1440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1800" w:hanging="108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800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2160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2160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2520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880" w:hanging="216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decimal"/>
      <w:isLgl w:val="false"/>
      <w:suff w:val="tab"/>
      <w:lvlText w:val="%1.%2"/>
      <w:lvlJc w:val="left"/>
      <w:pPr>
        <w:ind w:left="1170" w:hanging="450"/>
      </w:pPr>
    </w:lvl>
    <w:lvl w:ilvl="2">
      <w:start w:val="1"/>
      <w:numFmt w:val="decimal"/>
      <w:isLgl w:val="false"/>
      <w:suff w:val="tab"/>
      <w:lvlText w:val="%1.%2.%3"/>
      <w:lvlJc w:val="left"/>
      <w:pPr>
        <w:ind w:left="1440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1800" w:hanging="108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800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2160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2160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2520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880" w:hanging="216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decimal"/>
      <w:isLgl w:val="false"/>
      <w:suff w:val="tab"/>
      <w:lvlText w:val="%1.%2"/>
      <w:lvlJc w:val="left"/>
      <w:pPr>
        <w:ind w:left="1170" w:hanging="450"/>
      </w:pPr>
    </w:lvl>
    <w:lvl w:ilvl="2">
      <w:start w:val="1"/>
      <w:numFmt w:val="decimal"/>
      <w:isLgl w:val="false"/>
      <w:suff w:val="tab"/>
      <w:lvlText w:val="%1.%2.%3"/>
      <w:lvlJc w:val="left"/>
      <w:pPr>
        <w:ind w:left="1440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1800" w:hanging="108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800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2160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2160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2520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880" w:hanging="216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70" w:hanging="570"/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decimal"/>
      <w:isLgl w:val="false"/>
      <w:suff w:val="tab"/>
      <w:lvlText w:val="%1.%2"/>
      <w:lvlJc w:val="left"/>
      <w:pPr>
        <w:ind w:left="1170" w:hanging="450"/>
      </w:pPr>
    </w:lvl>
    <w:lvl w:ilvl="2">
      <w:start w:val="1"/>
      <w:numFmt w:val="decimal"/>
      <w:isLgl w:val="false"/>
      <w:suff w:val="tab"/>
      <w:lvlText w:val="%1.%2.%3"/>
      <w:lvlJc w:val="left"/>
      <w:pPr>
        <w:ind w:left="1440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1800" w:hanging="108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800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2160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2160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2520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880" w:hanging="216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decimal"/>
      <w:isLgl w:val="false"/>
      <w:suff w:val="tab"/>
      <w:lvlText w:val="%1.%2"/>
      <w:lvlJc w:val="left"/>
      <w:pPr>
        <w:ind w:left="1170" w:hanging="450"/>
      </w:pPr>
    </w:lvl>
    <w:lvl w:ilvl="2">
      <w:start w:val="1"/>
      <w:numFmt w:val="decimal"/>
      <w:isLgl w:val="false"/>
      <w:suff w:val="tab"/>
      <w:lvlText w:val="%1.%2.%3"/>
      <w:lvlJc w:val="left"/>
      <w:pPr>
        <w:ind w:left="1440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1800" w:hanging="108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800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2160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2160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2520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880" w:hanging="2160"/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decimal"/>
      <w:isLgl w:val="false"/>
      <w:suff w:val="tab"/>
      <w:lvlText w:val="%1.%2"/>
      <w:lvlJc w:val="left"/>
      <w:pPr>
        <w:ind w:left="1170" w:hanging="450"/>
      </w:pPr>
    </w:lvl>
    <w:lvl w:ilvl="2">
      <w:start w:val="1"/>
      <w:numFmt w:val="decimal"/>
      <w:isLgl w:val="false"/>
      <w:suff w:val="tab"/>
      <w:lvlText w:val="%1.%2.%3"/>
      <w:lvlJc w:val="left"/>
      <w:pPr>
        <w:ind w:left="1440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1800" w:hanging="108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800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2160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2160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2520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880" w:hanging="2160"/>
      </w:pPr>
    </w:lvl>
  </w:abstractNum>
  <w:abstractNum w:abstractNumId="3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>
    <w:multiLevelType w:val="hybridMultilevel"/>
    <w:lvl w:ilvl="0">
      <w:start w:val="1"/>
      <w:numFmt w:val="bullet"/>
      <w:isLgl w:val="false"/>
      <w:suff w:val="space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decimal"/>
      <w:isLgl w:val="false"/>
      <w:suff w:val="tab"/>
      <w:lvlText w:val="%1.%2"/>
      <w:lvlJc w:val="left"/>
      <w:pPr>
        <w:ind w:left="1170" w:hanging="450"/>
      </w:pPr>
    </w:lvl>
    <w:lvl w:ilvl="2">
      <w:start w:val="1"/>
      <w:numFmt w:val="decimal"/>
      <w:isLgl w:val="false"/>
      <w:suff w:val="tab"/>
      <w:lvlText w:val="%1.%2.%3"/>
      <w:lvlJc w:val="left"/>
      <w:pPr>
        <w:ind w:left="1440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1800" w:hanging="108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800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2160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2160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2520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880" w:hanging="2160"/>
      </w:pPr>
    </w:lvl>
  </w:abstractNum>
  <w:abstractNum w:abstractNumId="3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decimal"/>
      <w:isLgl w:val="false"/>
      <w:suff w:val="tab"/>
      <w:lvlText w:val="%1.%2"/>
      <w:lvlJc w:val="left"/>
      <w:pPr>
        <w:ind w:left="1170" w:hanging="450"/>
      </w:pPr>
    </w:lvl>
    <w:lvl w:ilvl="2">
      <w:start w:val="1"/>
      <w:numFmt w:val="decimal"/>
      <w:isLgl w:val="false"/>
      <w:suff w:val="tab"/>
      <w:lvlText w:val="%1.%2.%3"/>
      <w:lvlJc w:val="left"/>
      <w:pPr>
        <w:ind w:left="1440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1800" w:hanging="108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800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2160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2160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2520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880" w:hanging="2160"/>
      </w:p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decimal"/>
      <w:isLgl w:val="false"/>
      <w:suff w:val="tab"/>
      <w:lvlText w:val="%1.%2"/>
      <w:lvlJc w:val="left"/>
      <w:pPr>
        <w:ind w:left="1170" w:hanging="450"/>
      </w:pPr>
    </w:lvl>
    <w:lvl w:ilvl="2">
      <w:start w:val="1"/>
      <w:numFmt w:val="decimal"/>
      <w:isLgl w:val="false"/>
      <w:suff w:val="tab"/>
      <w:lvlText w:val="%1.%2.%3"/>
      <w:lvlJc w:val="left"/>
      <w:pPr>
        <w:ind w:left="1440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1800" w:hanging="108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800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2160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2160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2520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880" w:hanging="2160"/>
      </w:p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decimal"/>
      <w:isLgl w:val="false"/>
      <w:suff w:val="tab"/>
      <w:lvlText w:val="%1.%2"/>
      <w:lvlJc w:val="left"/>
      <w:pPr>
        <w:ind w:left="1170" w:hanging="450"/>
      </w:pPr>
    </w:lvl>
    <w:lvl w:ilvl="2">
      <w:start w:val="1"/>
      <w:numFmt w:val="decimal"/>
      <w:isLgl w:val="false"/>
      <w:suff w:val="tab"/>
      <w:lvlText w:val="%1.%2.%3"/>
      <w:lvlJc w:val="left"/>
      <w:pPr>
        <w:ind w:left="1440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1800" w:hanging="108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800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2160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2160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2520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880" w:hanging="2160"/>
      </w:pPr>
    </w:lvl>
  </w:abstractNum>
  <w:abstractNum w:abstractNumId="4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4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5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5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num w:numId="1">
    <w:abstractNumId w:val="24"/>
  </w:num>
  <w:num w:numId="2">
    <w:abstractNumId w:val="9"/>
  </w:num>
  <w:num w:numId="3">
    <w:abstractNumId w:val="5"/>
  </w:num>
  <w:num w:numId="4">
    <w:abstractNumId w:val="35"/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3"/>
  </w:num>
  <w:num w:numId="8">
    <w:abstractNumId w:val="1"/>
  </w:num>
  <w:num w:numId="9">
    <w:abstractNumId w:val="4"/>
  </w:num>
  <w:num w:numId="10">
    <w:abstractNumId w:val="27"/>
  </w:num>
  <w:num w:numId="11">
    <w:abstractNumId w:val="40"/>
  </w:num>
  <w:num w:numId="12">
    <w:abstractNumId w:val="21"/>
  </w:num>
  <w:num w:numId="13">
    <w:abstractNumId w:val="8"/>
  </w:num>
  <w:num w:numId="14">
    <w:abstractNumId w:val="11"/>
  </w:num>
  <w:num w:numId="15">
    <w:abstractNumId w:val="38"/>
  </w:num>
  <w:num w:numId="16">
    <w:abstractNumId w:val="15"/>
  </w:num>
  <w:num w:numId="17">
    <w:abstractNumId w:val="25"/>
  </w:num>
  <w:num w:numId="18">
    <w:abstractNumId w:val="41"/>
  </w:num>
  <w:num w:numId="19">
    <w:abstractNumId w:val="18"/>
  </w:num>
  <w:num w:numId="20">
    <w:abstractNumId w:val="34"/>
  </w:num>
  <w:num w:numId="21">
    <w:abstractNumId w:val="23"/>
  </w:num>
  <w:num w:numId="22">
    <w:abstractNumId w:val="33"/>
  </w:num>
  <w:num w:numId="23">
    <w:abstractNumId w:val="20"/>
  </w:num>
  <w:num w:numId="24">
    <w:abstractNumId w:val="12"/>
  </w:num>
  <w:num w:numId="25">
    <w:abstractNumId w:val="10"/>
  </w:num>
  <w:num w:numId="26">
    <w:abstractNumId w:val="19"/>
  </w:num>
  <w:num w:numId="27">
    <w:abstractNumId w:val="29"/>
  </w:num>
  <w:num w:numId="28">
    <w:abstractNumId w:val="42"/>
  </w:num>
  <w:num w:numId="29">
    <w:abstractNumId w:val="14"/>
  </w:num>
  <w:num w:numId="30">
    <w:abstractNumId w:val="30"/>
  </w:num>
  <w:num w:numId="31">
    <w:abstractNumId w:val="17"/>
  </w:num>
  <w:num w:numId="32">
    <w:abstractNumId w:val="31"/>
  </w:num>
  <w:num w:numId="33">
    <w:abstractNumId w:val="6"/>
  </w:num>
  <w:num w:numId="34">
    <w:abstractNumId w:val="0"/>
  </w:num>
  <w:num w:numId="35">
    <w:abstractNumId w:val="13"/>
  </w:num>
  <w:num w:numId="36">
    <w:abstractNumId w:val="7"/>
  </w:num>
  <w:num w:numId="37">
    <w:abstractNumId w:val="36"/>
  </w:num>
  <w:num w:numId="38">
    <w:abstractNumId w:val="37"/>
  </w:num>
  <w:num w:numId="39">
    <w:abstractNumId w:val="2"/>
  </w:num>
  <w:num w:numId="40">
    <w:abstractNumId w:val="43"/>
  </w:num>
  <w:num w:numId="41">
    <w:abstractNumId w:val="32"/>
  </w:num>
  <w:num w:numId="42">
    <w:abstractNumId w:val="39"/>
  </w:num>
  <w:num w:numId="43">
    <w:abstractNumId w:val="16"/>
  </w:num>
  <w:num w:numId="44">
    <w:abstractNumId w:val="26"/>
  </w:num>
  <w:num w:numId="45">
    <w:abstractNumId w:val="28"/>
  </w:num>
  <w:num w:numId="46">
    <w:abstractNumId w:val="44"/>
  </w:num>
  <w:num w:numId="47">
    <w:abstractNumId w:val="45"/>
  </w:num>
  <w:num w:numId="48">
    <w:abstractNumId w:val="46"/>
  </w:num>
  <w:num w:numId="49">
    <w:abstractNumId w:val="47"/>
  </w:num>
  <w:num w:numId="50">
    <w:abstractNumId w:val="48"/>
  </w:num>
  <w:num w:numId="51">
    <w:abstractNumId w:val="49"/>
  </w:num>
  <w:num w:numId="52">
    <w:abstractNumId w:val="50"/>
  </w:num>
  <w:num w:numId="53">
    <w:abstractNumId w:val="5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88">
    <w:name w:val="Heading 1"/>
    <w:basedOn w:val="966"/>
    <w:next w:val="966"/>
    <w:link w:val="78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89">
    <w:name w:val="Heading 1 Char"/>
    <w:link w:val="788"/>
    <w:uiPriority w:val="9"/>
    <w:rPr>
      <w:rFonts w:ascii="Arial" w:hAnsi="Arial" w:eastAsia="Arial" w:cs="Arial"/>
      <w:sz w:val="40"/>
      <w:szCs w:val="40"/>
    </w:rPr>
  </w:style>
  <w:style w:type="paragraph" w:styleId="790">
    <w:name w:val="Heading 2"/>
    <w:basedOn w:val="966"/>
    <w:next w:val="966"/>
    <w:link w:val="79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91">
    <w:name w:val="Heading 2 Char"/>
    <w:link w:val="790"/>
    <w:uiPriority w:val="9"/>
    <w:rPr>
      <w:rFonts w:ascii="Arial" w:hAnsi="Arial" w:eastAsia="Arial" w:cs="Arial"/>
      <w:sz w:val="34"/>
    </w:rPr>
  </w:style>
  <w:style w:type="paragraph" w:styleId="792">
    <w:name w:val="Heading 3"/>
    <w:basedOn w:val="966"/>
    <w:next w:val="966"/>
    <w:link w:val="79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93">
    <w:name w:val="Heading 3 Char"/>
    <w:link w:val="792"/>
    <w:uiPriority w:val="9"/>
    <w:rPr>
      <w:rFonts w:ascii="Arial" w:hAnsi="Arial" w:eastAsia="Arial" w:cs="Arial"/>
      <w:sz w:val="30"/>
      <w:szCs w:val="30"/>
    </w:rPr>
  </w:style>
  <w:style w:type="paragraph" w:styleId="794">
    <w:name w:val="Heading 4"/>
    <w:basedOn w:val="966"/>
    <w:next w:val="966"/>
    <w:link w:val="79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95">
    <w:name w:val="Heading 4 Char"/>
    <w:link w:val="794"/>
    <w:uiPriority w:val="9"/>
    <w:rPr>
      <w:rFonts w:ascii="Arial" w:hAnsi="Arial" w:eastAsia="Arial" w:cs="Arial"/>
      <w:b/>
      <w:bCs/>
      <w:sz w:val="26"/>
      <w:szCs w:val="26"/>
    </w:rPr>
  </w:style>
  <w:style w:type="paragraph" w:styleId="796">
    <w:name w:val="Heading 5"/>
    <w:basedOn w:val="966"/>
    <w:next w:val="966"/>
    <w:link w:val="79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97">
    <w:name w:val="Heading 5 Char"/>
    <w:link w:val="796"/>
    <w:uiPriority w:val="9"/>
    <w:rPr>
      <w:rFonts w:ascii="Arial" w:hAnsi="Arial" w:eastAsia="Arial" w:cs="Arial"/>
      <w:b/>
      <w:bCs/>
      <w:sz w:val="24"/>
      <w:szCs w:val="24"/>
    </w:rPr>
  </w:style>
  <w:style w:type="paragraph" w:styleId="798">
    <w:name w:val="Heading 6"/>
    <w:basedOn w:val="966"/>
    <w:next w:val="966"/>
    <w:link w:val="79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99">
    <w:name w:val="Heading 6 Char"/>
    <w:link w:val="798"/>
    <w:uiPriority w:val="9"/>
    <w:rPr>
      <w:rFonts w:ascii="Arial" w:hAnsi="Arial" w:eastAsia="Arial" w:cs="Arial"/>
      <w:b/>
      <w:bCs/>
      <w:sz w:val="22"/>
      <w:szCs w:val="22"/>
    </w:rPr>
  </w:style>
  <w:style w:type="paragraph" w:styleId="800">
    <w:name w:val="Heading 7"/>
    <w:basedOn w:val="966"/>
    <w:next w:val="966"/>
    <w:link w:val="80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01">
    <w:name w:val="Heading 7 Char"/>
    <w:link w:val="80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802">
    <w:name w:val="Heading 8"/>
    <w:basedOn w:val="966"/>
    <w:next w:val="966"/>
    <w:link w:val="80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03">
    <w:name w:val="Heading 8 Char"/>
    <w:link w:val="802"/>
    <w:uiPriority w:val="9"/>
    <w:rPr>
      <w:rFonts w:ascii="Arial" w:hAnsi="Arial" w:eastAsia="Arial" w:cs="Arial"/>
      <w:i/>
      <w:iCs/>
      <w:sz w:val="22"/>
      <w:szCs w:val="22"/>
    </w:rPr>
  </w:style>
  <w:style w:type="paragraph" w:styleId="804">
    <w:name w:val="Heading 9"/>
    <w:basedOn w:val="966"/>
    <w:next w:val="966"/>
    <w:link w:val="80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05">
    <w:name w:val="Heading 9 Char"/>
    <w:link w:val="804"/>
    <w:uiPriority w:val="9"/>
    <w:rPr>
      <w:rFonts w:ascii="Arial" w:hAnsi="Arial" w:eastAsia="Arial" w:cs="Arial"/>
      <w:i/>
      <w:iCs/>
      <w:sz w:val="21"/>
      <w:szCs w:val="21"/>
    </w:rPr>
  </w:style>
  <w:style w:type="paragraph" w:styleId="806">
    <w:name w:val="List Paragraph"/>
    <w:basedOn w:val="966"/>
    <w:uiPriority w:val="34"/>
    <w:qFormat/>
    <w:pPr>
      <w:contextualSpacing/>
      <w:ind w:left="720"/>
    </w:pPr>
  </w:style>
  <w:style w:type="paragraph" w:styleId="807">
    <w:name w:val="No Spacing"/>
    <w:uiPriority w:val="1"/>
    <w:qFormat/>
    <w:pPr>
      <w:spacing w:before="0" w:after="0" w:line="240" w:lineRule="auto"/>
    </w:pPr>
  </w:style>
  <w:style w:type="paragraph" w:styleId="808">
    <w:name w:val="Title"/>
    <w:basedOn w:val="966"/>
    <w:next w:val="966"/>
    <w:link w:val="80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09">
    <w:name w:val="Title Char"/>
    <w:link w:val="808"/>
    <w:uiPriority w:val="10"/>
    <w:rPr>
      <w:sz w:val="48"/>
      <w:szCs w:val="48"/>
    </w:rPr>
  </w:style>
  <w:style w:type="paragraph" w:styleId="810">
    <w:name w:val="Subtitle"/>
    <w:basedOn w:val="966"/>
    <w:next w:val="966"/>
    <w:link w:val="811"/>
    <w:uiPriority w:val="11"/>
    <w:qFormat/>
    <w:pPr>
      <w:spacing w:before="200" w:after="200"/>
    </w:pPr>
    <w:rPr>
      <w:sz w:val="24"/>
      <w:szCs w:val="24"/>
    </w:rPr>
  </w:style>
  <w:style w:type="character" w:styleId="811">
    <w:name w:val="Subtitle Char"/>
    <w:link w:val="810"/>
    <w:uiPriority w:val="11"/>
    <w:rPr>
      <w:sz w:val="24"/>
      <w:szCs w:val="24"/>
    </w:rPr>
  </w:style>
  <w:style w:type="paragraph" w:styleId="812">
    <w:name w:val="Quote"/>
    <w:basedOn w:val="966"/>
    <w:next w:val="966"/>
    <w:link w:val="813"/>
    <w:uiPriority w:val="29"/>
    <w:qFormat/>
    <w:pPr>
      <w:ind w:left="720" w:right="720"/>
    </w:pPr>
    <w:rPr>
      <w:i/>
    </w:rPr>
  </w:style>
  <w:style w:type="character" w:styleId="813">
    <w:name w:val="Quote Char"/>
    <w:link w:val="812"/>
    <w:uiPriority w:val="29"/>
    <w:rPr>
      <w:i/>
    </w:rPr>
  </w:style>
  <w:style w:type="paragraph" w:styleId="814">
    <w:name w:val="Intense Quote"/>
    <w:basedOn w:val="966"/>
    <w:next w:val="966"/>
    <w:link w:val="81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15">
    <w:name w:val="Intense Quote Char"/>
    <w:link w:val="814"/>
    <w:uiPriority w:val="30"/>
    <w:rPr>
      <w:i/>
    </w:rPr>
  </w:style>
  <w:style w:type="paragraph" w:styleId="816">
    <w:name w:val="Header"/>
    <w:basedOn w:val="966"/>
    <w:link w:val="81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17">
    <w:name w:val="Header Char"/>
    <w:link w:val="816"/>
    <w:uiPriority w:val="99"/>
  </w:style>
  <w:style w:type="paragraph" w:styleId="818">
    <w:name w:val="Footer"/>
    <w:basedOn w:val="966"/>
    <w:link w:val="82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19">
    <w:name w:val="Footer Char"/>
    <w:link w:val="818"/>
    <w:uiPriority w:val="99"/>
  </w:style>
  <w:style w:type="paragraph" w:styleId="820">
    <w:name w:val="Caption"/>
    <w:basedOn w:val="966"/>
    <w:next w:val="966"/>
    <w:link w:val="82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21">
    <w:name w:val="Caption Char"/>
    <w:basedOn w:val="820"/>
    <w:link w:val="818"/>
    <w:uiPriority w:val="99"/>
  </w:style>
  <w:style w:type="table" w:styleId="822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23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24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25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26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27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29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5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5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5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5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5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5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57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6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6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64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6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6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6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6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6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7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71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86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87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88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89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90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9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92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3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4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5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6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7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8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9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0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2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3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4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5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6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3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1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1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1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1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1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1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20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2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92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2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2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2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2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2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2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2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3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3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3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3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3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3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3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3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3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3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4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4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42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43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44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45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46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47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48">
    <w:name w:val="Hyperlink"/>
    <w:uiPriority w:val="99"/>
    <w:unhideWhenUsed/>
    <w:rPr>
      <w:color w:val="0000ff" w:themeColor="hyperlink"/>
      <w:u w:val="single"/>
    </w:rPr>
  </w:style>
  <w:style w:type="paragraph" w:styleId="949">
    <w:name w:val="footnote text"/>
    <w:basedOn w:val="966"/>
    <w:link w:val="950"/>
    <w:uiPriority w:val="99"/>
    <w:semiHidden/>
    <w:unhideWhenUsed/>
    <w:pPr>
      <w:spacing w:after="40" w:line="240" w:lineRule="auto"/>
    </w:pPr>
    <w:rPr>
      <w:sz w:val="18"/>
    </w:rPr>
  </w:style>
  <w:style w:type="character" w:styleId="950">
    <w:name w:val="Footnote Text Char"/>
    <w:link w:val="949"/>
    <w:uiPriority w:val="99"/>
    <w:rPr>
      <w:sz w:val="18"/>
    </w:rPr>
  </w:style>
  <w:style w:type="character" w:styleId="951">
    <w:name w:val="footnote reference"/>
    <w:uiPriority w:val="99"/>
    <w:unhideWhenUsed/>
    <w:rPr>
      <w:vertAlign w:val="superscript"/>
    </w:rPr>
  </w:style>
  <w:style w:type="paragraph" w:styleId="952">
    <w:name w:val="endnote text"/>
    <w:basedOn w:val="966"/>
    <w:link w:val="953"/>
    <w:uiPriority w:val="99"/>
    <w:semiHidden/>
    <w:unhideWhenUsed/>
    <w:pPr>
      <w:spacing w:after="0" w:line="240" w:lineRule="auto"/>
    </w:pPr>
    <w:rPr>
      <w:sz w:val="20"/>
    </w:rPr>
  </w:style>
  <w:style w:type="character" w:styleId="953">
    <w:name w:val="Endnote Text Char"/>
    <w:link w:val="952"/>
    <w:uiPriority w:val="99"/>
    <w:rPr>
      <w:sz w:val="20"/>
    </w:rPr>
  </w:style>
  <w:style w:type="character" w:styleId="954">
    <w:name w:val="endnote reference"/>
    <w:uiPriority w:val="99"/>
    <w:semiHidden/>
    <w:unhideWhenUsed/>
    <w:rPr>
      <w:vertAlign w:val="superscript"/>
    </w:rPr>
  </w:style>
  <w:style w:type="paragraph" w:styleId="955">
    <w:name w:val="toc 1"/>
    <w:basedOn w:val="966"/>
    <w:next w:val="966"/>
    <w:uiPriority w:val="39"/>
    <w:unhideWhenUsed/>
    <w:pPr>
      <w:ind w:left="0" w:right="0" w:firstLine="0"/>
      <w:spacing w:after="57"/>
    </w:pPr>
  </w:style>
  <w:style w:type="paragraph" w:styleId="956">
    <w:name w:val="toc 2"/>
    <w:basedOn w:val="966"/>
    <w:next w:val="966"/>
    <w:uiPriority w:val="39"/>
    <w:unhideWhenUsed/>
    <w:pPr>
      <w:ind w:left="283" w:right="0" w:firstLine="0"/>
      <w:spacing w:after="57"/>
    </w:pPr>
  </w:style>
  <w:style w:type="paragraph" w:styleId="957">
    <w:name w:val="toc 3"/>
    <w:basedOn w:val="966"/>
    <w:next w:val="966"/>
    <w:uiPriority w:val="39"/>
    <w:unhideWhenUsed/>
    <w:pPr>
      <w:ind w:left="567" w:right="0" w:firstLine="0"/>
      <w:spacing w:after="57"/>
    </w:pPr>
  </w:style>
  <w:style w:type="paragraph" w:styleId="958">
    <w:name w:val="toc 4"/>
    <w:basedOn w:val="966"/>
    <w:next w:val="966"/>
    <w:uiPriority w:val="39"/>
    <w:unhideWhenUsed/>
    <w:pPr>
      <w:ind w:left="850" w:right="0" w:firstLine="0"/>
      <w:spacing w:after="57"/>
    </w:pPr>
  </w:style>
  <w:style w:type="paragraph" w:styleId="959">
    <w:name w:val="toc 5"/>
    <w:basedOn w:val="966"/>
    <w:next w:val="966"/>
    <w:uiPriority w:val="39"/>
    <w:unhideWhenUsed/>
    <w:pPr>
      <w:ind w:left="1134" w:right="0" w:firstLine="0"/>
      <w:spacing w:after="57"/>
    </w:pPr>
  </w:style>
  <w:style w:type="paragraph" w:styleId="960">
    <w:name w:val="toc 6"/>
    <w:basedOn w:val="966"/>
    <w:next w:val="966"/>
    <w:uiPriority w:val="39"/>
    <w:unhideWhenUsed/>
    <w:pPr>
      <w:ind w:left="1417" w:right="0" w:firstLine="0"/>
      <w:spacing w:after="57"/>
    </w:pPr>
  </w:style>
  <w:style w:type="paragraph" w:styleId="961">
    <w:name w:val="toc 7"/>
    <w:basedOn w:val="966"/>
    <w:next w:val="966"/>
    <w:uiPriority w:val="39"/>
    <w:unhideWhenUsed/>
    <w:pPr>
      <w:ind w:left="1701" w:right="0" w:firstLine="0"/>
      <w:spacing w:after="57"/>
    </w:pPr>
  </w:style>
  <w:style w:type="paragraph" w:styleId="962">
    <w:name w:val="toc 8"/>
    <w:basedOn w:val="966"/>
    <w:next w:val="966"/>
    <w:uiPriority w:val="39"/>
    <w:unhideWhenUsed/>
    <w:pPr>
      <w:ind w:left="1984" w:right="0" w:firstLine="0"/>
      <w:spacing w:after="57"/>
    </w:pPr>
  </w:style>
  <w:style w:type="paragraph" w:styleId="963">
    <w:name w:val="toc 9"/>
    <w:basedOn w:val="966"/>
    <w:next w:val="966"/>
    <w:uiPriority w:val="39"/>
    <w:unhideWhenUsed/>
    <w:pPr>
      <w:ind w:left="2268" w:right="0" w:firstLine="0"/>
      <w:spacing w:after="57"/>
    </w:pPr>
  </w:style>
  <w:style w:type="paragraph" w:styleId="964">
    <w:name w:val="TOC Heading"/>
    <w:uiPriority w:val="39"/>
    <w:unhideWhenUsed/>
  </w:style>
  <w:style w:type="paragraph" w:styleId="965">
    <w:name w:val="table of figures"/>
    <w:basedOn w:val="966"/>
    <w:next w:val="966"/>
    <w:uiPriority w:val="99"/>
    <w:unhideWhenUsed/>
    <w:pPr>
      <w:spacing w:after="0" w:afterAutospacing="0"/>
    </w:pPr>
  </w:style>
  <w:style w:type="paragraph" w:styleId="966" w:default="1">
    <w:name w:val="Normal"/>
    <w:next w:val="966"/>
    <w:link w:val="966"/>
    <w:qFormat/>
    <w:rPr>
      <w:lang w:val="ru-RU" w:eastAsia="ru-RU" w:bidi="ar-SA"/>
    </w:rPr>
  </w:style>
  <w:style w:type="paragraph" w:styleId="967">
    <w:name w:val="Заголовок 1"/>
    <w:basedOn w:val="966"/>
    <w:next w:val="966"/>
    <w:link w:val="966"/>
    <w:qFormat/>
    <w:pPr>
      <w:ind w:right="-1" w:firstLine="709"/>
      <w:jc w:val="both"/>
      <w:keepNext/>
      <w:outlineLvl w:val="0"/>
    </w:pPr>
    <w:rPr>
      <w:sz w:val="24"/>
    </w:rPr>
  </w:style>
  <w:style w:type="paragraph" w:styleId="968">
    <w:name w:val="Заголовок 2"/>
    <w:basedOn w:val="966"/>
    <w:next w:val="966"/>
    <w:link w:val="966"/>
    <w:qFormat/>
    <w:pPr>
      <w:ind w:right="-1"/>
      <w:jc w:val="both"/>
      <w:keepNext/>
      <w:outlineLvl w:val="1"/>
    </w:pPr>
    <w:rPr>
      <w:sz w:val="24"/>
    </w:rPr>
  </w:style>
  <w:style w:type="character" w:styleId="969">
    <w:name w:val="Основной шрифт абзаца"/>
    <w:next w:val="969"/>
    <w:link w:val="966"/>
    <w:semiHidden/>
  </w:style>
  <w:style w:type="table" w:styleId="970">
    <w:name w:val="Обычная таблица"/>
    <w:next w:val="970"/>
    <w:link w:val="966"/>
    <w:semiHidden/>
    <w:tblPr/>
  </w:style>
  <w:style w:type="numbering" w:styleId="971">
    <w:name w:val="Нет списка"/>
    <w:next w:val="971"/>
    <w:link w:val="966"/>
    <w:semiHidden/>
  </w:style>
  <w:style w:type="paragraph" w:styleId="972">
    <w:name w:val="Название объекта"/>
    <w:basedOn w:val="966"/>
    <w:next w:val="966"/>
    <w:link w:val="966"/>
    <w:qFormat/>
    <w:pPr>
      <w:jc w:val="center"/>
      <w:spacing w:line="360" w:lineRule="exact"/>
      <w:widowControl w:val="off"/>
    </w:pPr>
    <w:rPr>
      <w:b/>
      <w:sz w:val="32"/>
    </w:rPr>
  </w:style>
  <w:style w:type="paragraph" w:styleId="973">
    <w:name w:val="Основной текст"/>
    <w:basedOn w:val="966"/>
    <w:next w:val="973"/>
    <w:link w:val="966"/>
    <w:pPr>
      <w:ind w:right="3117"/>
    </w:pPr>
    <w:rPr>
      <w:rFonts w:ascii="Courier New" w:hAnsi="Courier New"/>
      <w:sz w:val="26"/>
    </w:rPr>
  </w:style>
  <w:style w:type="paragraph" w:styleId="974">
    <w:name w:val="Основной текст с отступом"/>
    <w:basedOn w:val="966"/>
    <w:next w:val="974"/>
    <w:link w:val="966"/>
    <w:pPr>
      <w:ind w:right="-1"/>
      <w:jc w:val="both"/>
    </w:pPr>
    <w:rPr>
      <w:sz w:val="26"/>
    </w:rPr>
  </w:style>
  <w:style w:type="paragraph" w:styleId="975">
    <w:name w:val="Нижний колонтитул"/>
    <w:basedOn w:val="966"/>
    <w:next w:val="975"/>
    <w:link w:val="966"/>
    <w:pPr>
      <w:tabs>
        <w:tab w:val="center" w:pos="4153" w:leader="none"/>
        <w:tab w:val="right" w:pos="8306" w:leader="none"/>
      </w:tabs>
    </w:pPr>
  </w:style>
  <w:style w:type="character" w:styleId="976">
    <w:name w:val="Номер страницы"/>
    <w:basedOn w:val="969"/>
    <w:next w:val="976"/>
    <w:link w:val="966"/>
  </w:style>
  <w:style w:type="paragraph" w:styleId="977">
    <w:name w:val="Верхний колонтитул"/>
    <w:basedOn w:val="966"/>
    <w:next w:val="977"/>
    <w:link w:val="980"/>
    <w:uiPriority w:val="99"/>
    <w:pPr>
      <w:tabs>
        <w:tab w:val="center" w:pos="4153" w:leader="none"/>
        <w:tab w:val="right" w:pos="8306" w:leader="none"/>
      </w:tabs>
    </w:pPr>
  </w:style>
  <w:style w:type="paragraph" w:styleId="978">
    <w:name w:val="Текст выноски"/>
    <w:basedOn w:val="966"/>
    <w:next w:val="978"/>
    <w:link w:val="979"/>
    <w:rPr>
      <w:rFonts w:ascii="Segoe UI" w:hAnsi="Segoe UI" w:cs="Segoe UI"/>
      <w:sz w:val="18"/>
      <w:szCs w:val="18"/>
    </w:rPr>
  </w:style>
  <w:style w:type="character" w:styleId="979">
    <w:name w:val="Текст выноски Знак"/>
    <w:next w:val="979"/>
    <w:link w:val="978"/>
    <w:rPr>
      <w:rFonts w:ascii="Segoe UI" w:hAnsi="Segoe UI" w:cs="Segoe UI"/>
      <w:sz w:val="18"/>
      <w:szCs w:val="18"/>
    </w:rPr>
  </w:style>
  <w:style w:type="character" w:styleId="980">
    <w:name w:val="Верхний колонтитул Знак"/>
    <w:next w:val="980"/>
    <w:link w:val="977"/>
    <w:uiPriority w:val="99"/>
  </w:style>
  <w:style w:type="paragraph" w:styleId="981">
    <w:name w:val="formattext"/>
    <w:basedOn w:val="966"/>
    <w:next w:val="981"/>
    <w:link w:val="966"/>
    <w:pPr>
      <w:spacing w:before="100" w:beforeAutospacing="1" w:after="100" w:afterAutospacing="1"/>
    </w:pPr>
    <w:rPr>
      <w:sz w:val="24"/>
      <w:szCs w:val="24"/>
    </w:rPr>
  </w:style>
  <w:style w:type="character" w:styleId="982">
    <w:name w:val="Гиперссылка"/>
    <w:next w:val="982"/>
    <w:link w:val="966"/>
    <w:uiPriority w:val="99"/>
    <w:unhideWhenUsed/>
    <w:rPr>
      <w:color w:val="0000ff"/>
      <w:u w:val="single"/>
    </w:rPr>
  </w:style>
  <w:style w:type="paragraph" w:styleId="983">
    <w:name w:val="headertext"/>
    <w:basedOn w:val="966"/>
    <w:next w:val="983"/>
    <w:link w:val="966"/>
    <w:pPr>
      <w:spacing w:before="100" w:beforeAutospacing="1" w:after="100" w:afterAutospacing="1"/>
    </w:pPr>
    <w:rPr>
      <w:sz w:val="24"/>
      <w:szCs w:val="24"/>
    </w:rPr>
  </w:style>
  <w:style w:type="paragraph" w:styleId="984">
    <w:name w:val="ConsPlusNormal"/>
    <w:next w:val="984"/>
    <w:link w:val="966"/>
    <w:pPr>
      <w:widowControl w:val="off"/>
    </w:pPr>
    <w:rPr>
      <w:rFonts w:ascii="Calibri" w:hAnsi="Calibri" w:cs="Calibri"/>
      <w:sz w:val="22"/>
      <w:lang w:val="ru-RU" w:eastAsia="ru-RU" w:bidi="ar-SA"/>
    </w:rPr>
  </w:style>
  <w:style w:type="paragraph" w:styleId="985">
    <w:name w:val="Абзац списка,Маркер,Bullet List,FooterText,numbered,Абзац списка нумерованный,it_List1,Bullet 1,Use Case List Paragraph,List Paragraph1"/>
    <w:basedOn w:val="966"/>
    <w:next w:val="985"/>
    <w:link w:val="992"/>
    <w:uiPriority w:val="34"/>
    <w:qFormat/>
    <w:pPr>
      <w:ind w:left="708"/>
    </w:pPr>
  </w:style>
  <w:style w:type="paragraph" w:styleId="986">
    <w:name w:val="ConsPlusNonformat"/>
    <w:next w:val="986"/>
    <w:link w:val="966"/>
    <w:pPr>
      <w:widowControl w:val="off"/>
    </w:pPr>
    <w:rPr>
      <w:rFonts w:ascii="Courier New" w:hAnsi="Courier New" w:cs="Courier New"/>
      <w:lang w:val="ru-RU" w:eastAsia="ru-RU" w:bidi="ar-SA"/>
    </w:rPr>
  </w:style>
  <w:style w:type="character" w:styleId="987">
    <w:name w:val="Номер строки"/>
    <w:next w:val="987"/>
    <w:link w:val="966"/>
  </w:style>
  <w:style w:type="character" w:styleId="988">
    <w:name w:val="match"/>
    <w:next w:val="988"/>
    <w:link w:val="966"/>
  </w:style>
  <w:style w:type="paragraph" w:styleId="989">
    <w:name w:val="Default"/>
    <w:next w:val="989"/>
    <w:link w:val="966"/>
    <w:rPr>
      <w:rFonts w:eastAsia="Calibri"/>
      <w:color w:val="000000"/>
      <w:sz w:val="24"/>
      <w:szCs w:val="24"/>
      <w:lang w:val="ru-RU" w:eastAsia="en-US" w:bidi="ar-SA"/>
    </w:rPr>
  </w:style>
  <w:style w:type="paragraph" w:styleId="990">
    <w:name w:val="Текст примечания"/>
    <w:basedOn w:val="966"/>
    <w:next w:val="990"/>
    <w:link w:val="991"/>
    <w:uiPriority w:val="99"/>
    <w:unhideWhenUsed/>
    <w:pPr>
      <w:jc w:val="both"/>
      <w:spacing w:after="60"/>
    </w:pPr>
  </w:style>
  <w:style w:type="character" w:styleId="991">
    <w:name w:val="Текст примечания Знак"/>
    <w:basedOn w:val="969"/>
    <w:next w:val="991"/>
    <w:link w:val="990"/>
    <w:uiPriority w:val="99"/>
  </w:style>
  <w:style w:type="character" w:styleId="992">
    <w:name w:val="Абзац списка Знак,Маркер Знак,Bullet List Знак,FooterText Знак,numbered Знак,Абзац списка нумерованный Знак,it_List1 Знак,Bullet 1 Знак,Use Case List Paragraph Знак,List Paragraph1 Знак"/>
    <w:next w:val="992"/>
    <w:link w:val="985"/>
    <w:uiPriority w:val="34"/>
  </w:style>
  <w:style w:type="numbering" w:styleId="993">
    <w:name w:val="Нет списка1"/>
    <w:next w:val="971"/>
    <w:link w:val="966"/>
    <w:uiPriority w:val="99"/>
    <w:semiHidden/>
    <w:unhideWhenUsed/>
  </w:style>
  <w:style w:type="paragraph" w:styleId="994">
    <w:name w:val="ConsPlusTitlePage"/>
    <w:next w:val="994"/>
    <w:link w:val="966"/>
    <w:pPr>
      <w:widowControl w:val="off"/>
    </w:pPr>
    <w:rPr>
      <w:rFonts w:ascii="Tahoma" w:hAnsi="Tahoma" w:cs="Tahoma"/>
      <w:szCs w:val="22"/>
      <w:lang w:val="ru-RU" w:eastAsia="ru-RU" w:bidi="ar-SA"/>
    </w:rPr>
  </w:style>
  <w:style w:type="paragraph" w:styleId="995">
    <w:name w:val="ConsPlusTitle"/>
    <w:next w:val="995"/>
    <w:link w:val="966"/>
    <w:pPr>
      <w:widowControl w:val="off"/>
    </w:pPr>
    <w:rPr>
      <w:rFonts w:ascii="Arial" w:hAnsi="Arial" w:cs="Arial"/>
      <w:b/>
      <w:szCs w:val="22"/>
      <w:lang w:val="ru-RU" w:eastAsia="ru-RU" w:bidi="ar-SA"/>
    </w:rPr>
  </w:style>
  <w:style w:type="character" w:styleId="996" w:default="1">
    <w:name w:val="Default Paragraph Font"/>
    <w:uiPriority w:val="1"/>
    <w:semiHidden/>
    <w:unhideWhenUsed/>
  </w:style>
  <w:style w:type="numbering" w:styleId="997" w:default="1">
    <w:name w:val="No List"/>
    <w:uiPriority w:val="99"/>
    <w:semiHidden/>
    <w:unhideWhenUsed/>
  </w:style>
  <w:style w:type="table" w:styleId="998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Сергей</dc:creator>
  <cp:lastModifiedBy>samokhvalova-ev</cp:lastModifiedBy>
  <cp:revision>40</cp:revision>
  <dcterms:created xsi:type="dcterms:W3CDTF">2023-02-10T05:15:00Z</dcterms:created>
  <dcterms:modified xsi:type="dcterms:W3CDTF">2026-08-25T05:43:59Z</dcterms:modified>
  <cp:version>917504</cp:version>
</cp:coreProperties>
</file>