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8"/>
        <w:contextualSpacing w:val="0"/>
        <w:ind w:right="0"/>
        <w:jc w:val="left"/>
        <w:shd w:val="clear" w:color="auto" w:fill="ffffff" w:themeFill="background1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68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7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72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38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510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768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7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72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38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510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contextualSpacing w:val="0"/>
        <w:ind w:right="0"/>
        <w:jc w:val="left"/>
        <w:shd w:val="clear" w:color="auto" w:fill="ffffff" w:themeFill="background1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contextualSpacing w:val="0"/>
        <w:ind w:right="0"/>
        <w:jc w:val="left"/>
        <w:shd w:val="clear" w:color="auto" w:fill="ffffff" w:themeFill="background1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 w:val="0"/>
        <w:jc w:val="left"/>
        <w:shd w:val="clear" w:color="auto" w:fill="ffffff" w:themeFill="background1"/>
        <w:rPr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4"/>
          <w:lang w:val="en-US"/>
        </w:rPr>
      </w:r>
      <w:r>
        <w:rPr>
          <w:sz w:val="24"/>
        </w:rPr>
      </w:r>
      <w:r>
        <w:rPr>
          <w:sz w:val="24"/>
        </w:rPr>
      </w:r>
    </w:p>
    <w:p>
      <w:pPr>
        <w:contextualSpacing w:val="0"/>
        <w:jc w:val="left"/>
        <w:shd w:val="clear" w:color="auto" w:fill="ffffff" w:themeFill="background1"/>
        <w:rPr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contextualSpacing w:val="0"/>
        <w:jc w:val="left"/>
        <w:shd w:val="clear" w:color="auto" w:fill="ffffff" w:themeFill="background1"/>
        <w:rPr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contextualSpacing w:val="0"/>
        <w:jc w:val="left"/>
        <w:spacing w:line="240" w:lineRule="exact"/>
        <w:shd w:val="clear" w:color="auto" w:fill="ffffff" w:themeFill="background1"/>
        <w:rPr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 w:val="0"/>
        <w:jc w:val="left"/>
        <w:spacing w:line="238" w:lineRule="exact"/>
        <w:shd w:val="clear" w:color="auto" w:fill="ffffff" w:themeFill="background1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left"/>
        <w:spacing w:line="238" w:lineRule="exact"/>
        <w:shd w:val="clear" w:color="auto" w:fill="ffffff" w:themeFill="background1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jc w:val="center"/>
        <w:spacing w:line="238" w:lineRule="exact"/>
        <w:shd w:val="clear" w:color="auto" w:fill="ffffff" w:themeFill="background1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sz w:val="28"/>
          <w:szCs w:val="28"/>
        </w:rPr>
        <w:t xml:space="preserve">Об утверждении Порядка рассмотрения заявлений о включении </w:t>
        <w:br/>
        <w:t xml:space="preserve">нестационарных торговых объектов, размещенных на земельных участках, находящихся в частной собственности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в схему размещения нестационарных торговых объектов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jc w:val="left"/>
        <w:spacing w:line="238" w:lineRule="exac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pacing w:line="238" w:lineRule="exac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pacing w:line="238" w:lineRule="exac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В целях реализации </w:t>
      </w:r>
      <w:r>
        <w:rPr>
          <w:sz w:val="28"/>
          <w:szCs w:val="28"/>
        </w:rPr>
        <w:t xml:space="preserve">Федерального закона от 28 декабря 2009 г. № 381-ФЗ «Об основах государственного регулирования торговой деятельности в Российской Федерации», Закона Пермского края</w:t>
      </w:r>
      <w:r>
        <w:t xml:space="preserve"> </w:t>
      </w:r>
      <w:r>
        <w:rPr>
          <w:sz w:val="28"/>
          <w:szCs w:val="28"/>
        </w:rPr>
        <w:t xml:space="preserve">от 08 июня 2023 г. № 182-ПК</w:t>
      </w:r>
      <w:r>
        <w:rPr>
          <w:sz w:val="28"/>
          <w:szCs w:val="28"/>
        </w:rPr>
        <w:t xml:space="preserve"> «Об отдельных вопросах организации публичной власти Пермского края», постановления Правительства Пермского края от 27 апреля 2026 г. № 252-п «О включении нестационарных торговых объектов, размещенных на земельных участках, находящихся в</w:t>
      </w:r>
      <w:r>
        <w:rPr>
          <w:sz w:val="28"/>
          <w:szCs w:val="28"/>
        </w:rPr>
        <w:t xml:space="preserve"> частной собственности, в схему размещения нестационарных торговых объектов и о внесении изменений в Положение о Министерстве промышленности и торговли Пермского края, утвержденное постановлением Правительства Пермского края от 26 апреля 2013 г. № 350-п», </w:t>
      </w:r>
      <w:r>
        <w:rPr>
          <w:sz w:val="28"/>
          <w:szCs w:val="28"/>
        </w:rPr>
        <w:t xml:space="preserve">приказа Министерства промышленности и торговли Пермского края от 29</w:t>
      </w:r>
      <w:r>
        <w:rPr>
          <w:sz w:val="28"/>
          <w:szCs w:val="28"/>
        </w:rPr>
        <w:t xml:space="preserve"> мая 2026 г. № 03-01-03-87 «Об утверждении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исключения таких объектов из схемы»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0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администрация города Перми 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20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1. Утвердить прилагаемый Порядок </w:t>
      </w:r>
      <w:r>
        <w:rPr>
          <w:sz w:val="28"/>
          <w:szCs w:val="28"/>
        </w:rPr>
        <w:t xml:space="preserve">рассмотрения заявлений о включении нестационарных торговых объектов, размещенных на земельных участках, находящихся в частной собственности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 схему размещения нестационарных торговых объектов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 w:themeFill="background1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Настоящее постановление вступает в силу </w:t>
      </w:r>
      <w:r>
        <w:rPr>
          <w:color w:val="000000"/>
          <w:sz w:val="28"/>
          <w:szCs w:val="28"/>
        </w:rPr>
        <w:t xml:space="preserve">с 01 сентября 2026 г.</w:t>
      </w:r>
      <w:r>
        <w:rPr>
          <w:color w:val="000000"/>
          <w:sz w:val="28"/>
          <w:szCs w:val="28"/>
        </w:rPr>
        <w:t xml:space="preserve">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20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5. Контроль за исполнением настоящего постановления возложить на первого </w:t>
      </w:r>
      <w:r>
        <w:rPr>
          <w:bCs/>
          <w:sz w:val="28"/>
          <w:szCs w:val="28"/>
        </w:rPr>
        <w:t xml:space="preserve">заместителя главы администрации города Перми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both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 w:val="0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  <w:t xml:space="preserve">Глава города Перми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</w:t>
      </w:r>
      <w:r>
        <w:rPr>
          <w:bCs/>
          <w:sz w:val="28"/>
          <w:szCs w:val="28"/>
        </w:rPr>
        <w:tab/>
        <w:t xml:space="preserve">    </w:t>
      </w:r>
      <w:r>
        <w:rPr>
          <w:bCs/>
          <w:sz w:val="28"/>
          <w:szCs w:val="28"/>
        </w:rPr>
        <w:tab/>
        <w:t xml:space="preserve">                                                Э.О. Соснин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ectPr>
          <w:headerReference w:type="default" r:id="rId8"/>
          <w:headerReference w:type="even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bCs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5669"/>
        <w:jc w:val="left"/>
        <w:spacing w:line="238" w:lineRule="exac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5669"/>
        <w:jc w:val="left"/>
        <w:spacing w:line="238" w:lineRule="exac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  <w:t xml:space="preserve">постановлением </w:t>
      </w:r>
      <w:r>
        <w:rPr>
          <w:bCs/>
          <w:sz w:val="28"/>
          <w:szCs w:val="28"/>
        </w:rPr>
        <w:t xml:space="preserve">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5669"/>
        <w:jc w:val="left"/>
        <w:spacing w:line="238" w:lineRule="exac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5669"/>
        <w:jc w:val="left"/>
        <w:spacing w:line="238" w:lineRule="exact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 xml:space="preserve">28.08.2026 № 510</w:t>
      </w:r>
      <w:r>
        <w:rPr>
          <w:bCs/>
          <w:sz w:val="28"/>
          <w:szCs w:val="28"/>
        </w:rPr>
      </w:r>
    </w:p>
    <w:p>
      <w:pPr>
        <w:contextualSpacing w:val="0"/>
        <w:jc w:val="left"/>
        <w:spacing w:line="238" w:lineRule="exact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 w:val="0"/>
        <w:jc w:val="left"/>
        <w:spacing w:line="238" w:lineRule="exact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 w:val="0"/>
        <w:jc w:val="center"/>
        <w:spacing w:line="238" w:lineRule="exact"/>
        <w:shd w:val="clear" w:color="auto" w:fill="ffffff" w:themeFill="background1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bCs/>
          <w:sz w:val="28"/>
          <w:szCs w:val="28"/>
        </w:rPr>
        <w:t xml:space="preserve">ПОРЯДОК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center"/>
        <w:spacing w:line="238" w:lineRule="exact"/>
        <w:shd w:val="clear" w:color="auto" w:fill="ffffff" w:themeFill="background1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bCs/>
          <w:sz w:val="28"/>
          <w:szCs w:val="28"/>
        </w:rPr>
        <w:t xml:space="preserve">рассмотрения заявлений о включении нестационарных торговых объектов, размещенных на земельных участках, находящихся в частной собственности</w:t>
      </w:r>
      <w:r>
        <w:rPr>
          <w:b/>
          <w:b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  <w:t xml:space="preserve"> в схему размещения н</w:t>
      </w:r>
      <w:r>
        <w:rPr>
          <w:b/>
          <w:bCs/>
          <w:sz w:val="28"/>
          <w:szCs w:val="28"/>
        </w:rPr>
        <w:t xml:space="preserve">естационарных торговых объектов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contextualSpacing w:val="0"/>
        <w:ind w:firstLine="709"/>
        <w:jc w:val="both"/>
        <w:shd w:val="clear" w:color="auto" w:fill="ffffff" w:themeFill="background1"/>
        <w:rPr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  <w:t xml:space="preserve">1. Настоящий Порядок рассмотрения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заявлений о включении нестационарного торгового объекта, размещенного на земельном участке, находящемся </w:t>
        <w:br/>
        <w:t xml:space="preserve">в частной собственности, в схему размещения нестационарных торговых объектов (далее – Порядок, Заявление, Схема) </w:t>
      </w:r>
      <w:r>
        <w:rPr>
          <w:bCs/>
          <w:sz w:val="28"/>
          <w:szCs w:val="28"/>
        </w:rPr>
        <w:t xml:space="preserve">определяет п</w:t>
      </w:r>
      <w:r>
        <w:rPr>
          <w:bCs/>
          <w:sz w:val="28"/>
          <w:szCs w:val="28"/>
        </w:rPr>
        <w:t xml:space="preserve">роцедуру рассмотрения </w:t>
      </w:r>
      <w:r>
        <w:rPr>
          <w:bCs/>
          <w:sz w:val="28"/>
          <w:szCs w:val="28"/>
        </w:rPr>
        <w:t xml:space="preserve">департаментом экономики и промышленной политики администрации города Перми</w:t>
      </w:r>
      <w:r>
        <w:rPr>
          <w:bCs/>
          <w:sz w:val="28"/>
          <w:szCs w:val="28"/>
        </w:rPr>
        <w:t xml:space="preserve"> (далее – </w:t>
      </w:r>
      <w:r>
        <w:rPr>
          <w:bCs/>
          <w:sz w:val="28"/>
          <w:szCs w:val="28"/>
        </w:rPr>
        <w:t xml:space="preserve">Департамент</w:t>
      </w:r>
      <w:r>
        <w:rPr>
          <w:bCs/>
          <w:sz w:val="28"/>
          <w:szCs w:val="28"/>
        </w:rPr>
        <w:t xml:space="preserve">) Заявлений, поступивших от</w:t>
      </w:r>
      <w:r>
        <w:rPr>
          <w:bCs/>
          <w:sz w:val="28"/>
          <w:szCs w:val="28"/>
        </w:rPr>
        <w:t xml:space="preserve"> юридичес</w:t>
      </w:r>
      <w:r>
        <w:rPr>
          <w:bCs/>
          <w:sz w:val="28"/>
          <w:szCs w:val="28"/>
        </w:rPr>
        <w:t xml:space="preserve">ких лиц</w:t>
      </w:r>
      <w:r>
        <w:rPr>
          <w:bCs/>
          <w:sz w:val="28"/>
          <w:szCs w:val="28"/>
        </w:rPr>
        <w:t xml:space="preserve">, индивидуальн</w:t>
      </w:r>
      <w:r>
        <w:rPr>
          <w:bCs/>
          <w:sz w:val="28"/>
          <w:szCs w:val="28"/>
        </w:rPr>
        <w:t xml:space="preserve">ых</w:t>
      </w:r>
      <w:r>
        <w:rPr>
          <w:bCs/>
          <w:sz w:val="28"/>
          <w:szCs w:val="28"/>
        </w:rPr>
        <w:t xml:space="preserve"> предпринимате</w:t>
      </w:r>
      <w:r>
        <w:rPr>
          <w:bCs/>
          <w:sz w:val="28"/>
          <w:szCs w:val="28"/>
        </w:rPr>
        <w:t xml:space="preserve">лей или физических лиц</w:t>
      </w:r>
      <w:r>
        <w:rPr>
          <w:bCs/>
          <w:sz w:val="28"/>
          <w:szCs w:val="28"/>
        </w:rPr>
        <w:t xml:space="preserve">, не являющ</w:t>
      </w:r>
      <w:r>
        <w:rPr>
          <w:bCs/>
          <w:sz w:val="28"/>
          <w:szCs w:val="28"/>
        </w:rPr>
        <w:t xml:space="preserve">их</w:t>
      </w:r>
      <w:r>
        <w:rPr>
          <w:bCs/>
          <w:sz w:val="28"/>
          <w:szCs w:val="28"/>
        </w:rPr>
        <w:t xml:space="preserve">ся индивидуальным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 предпринимател</w:t>
      </w:r>
      <w:r>
        <w:rPr>
          <w:bCs/>
          <w:sz w:val="28"/>
          <w:szCs w:val="28"/>
        </w:rPr>
        <w:t xml:space="preserve">ями</w:t>
      </w:r>
      <w:r>
        <w:rPr>
          <w:bCs/>
          <w:sz w:val="28"/>
          <w:szCs w:val="28"/>
        </w:rPr>
        <w:t xml:space="preserve"> и прим</w:t>
      </w:r>
      <w:r>
        <w:rPr>
          <w:bCs/>
          <w:sz w:val="28"/>
          <w:szCs w:val="28"/>
        </w:rPr>
        <w:t xml:space="preserve">еняющих</w:t>
      </w:r>
      <w:r>
        <w:rPr>
          <w:bCs/>
          <w:sz w:val="28"/>
          <w:szCs w:val="28"/>
        </w:rPr>
        <w:t xml:space="preserve"> специальный налоговый режим «Налог на профессиональный доход» в течение срока проведения эксперимента, уст</w:t>
      </w:r>
      <w:r>
        <w:rPr>
          <w:bCs/>
          <w:sz w:val="28"/>
          <w:szCs w:val="28"/>
        </w:rPr>
        <w:t xml:space="preserve">ановлен</w:t>
      </w:r>
      <w:r>
        <w:rPr>
          <w:bCs/>
          <w:sz w:val="28"/>
          <w:szCs w:val="28"/>
        </w:rPr>
        <w:t xml:space="preserve">ного Федеральным законом от 27 ноября 2018 г. № 422-ФЗ «О проведении эксперимента по установлению специального налогового режима «Налог на профессиональный доход», намеревающихся использовать нестационарные торговые объекты для осуществления торговой</w:t>
      </w:r>
      <w:r>
        <w:rPr>
          <w:bCs/>
          <w:sz w:val="28"/>
          <w:szCs w:val="28"/>
        </w:rPr>
        <w:t xml:space="preserve"> деятельности (далее – Заявитель</w:t>
      </w:r>
      <w:r>
        <w:rPr>
          <w:bCs/>
          <w:sz w:val="28"/>
          <w:szCs w:val="28"/>
        </w:rPr>
        <w:t xml:space="preserve">).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  <w:t xml:space="preserve">2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</w:rPr>
        <w:t xml:space="preserve"> При поступлении </w:t>
      </w:r>
      <w:r>
        <w:rPr>
          <w:sz w:val="28"/>
          <w:szCs w:val="28"/>
        </w:rPr>
        <w:t xml:space="preserve">от Заявителя Заявления и прилагаемых к нему документов, предусмотренных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пунктом</w:t>
      </w:r>
      <w:r>
        <w:rPr>
          <w:sz w:val="28"/>
          <w:szCs w:val="28"/>
        </w:rPr>
        <w:t xml:space="preserve"> 3.2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включения нестационарных торговых объектов, размещенных на земе</w:t>
      </w:r>
      <w:r>
        <w:rPr>
          <w:sz w:val="28"/>
          <w:szCs w:val="28"/>
        </w:rPr>
        <w:t xml:space="preserve">льных</w:t>
      </w:r>
      <w:r>
        <w:rPr>
          <w:sz w:val="28"/>
          <w:szCs w:val="28"/>
        </w:rPr>
        <w:t xml:space="preserve"> участках, находящихся в частной собственности, в схему размещения нестационарных торговых объектов и исключения таких объектов из схемы, утвержденного приказом Министерства промышленности и торговли Пермского края от 29 мая 2026 г. № 03-01-03-87 (далее – </w:t>
      </w:r>
      <w:r>
        <w:rPr>
          <w:sz w:val="28"/>
          <w:szCs w:val="28"/>
        </w:rPr>
        <w:t xml:space="preserve">Поряд</w:t>
      </w:r>
      <w:r>
        <w:rPr>
          <w:sz w:val="28"/>
          <w:szCs w:val="28"/>
        </w:rPr>
        <w:t xml:space="preserve">ок</w:t>
      </w:r>
      <w:r>
        <w:t xml:space="preserve"> </w:t>
      </w:r>
      <w:r>
        <w:rPr>
          <w:sz w:val="28"/>
          <w:szCs w:val="28"/>
        </w:rPr>
        <w:t xml:space="preserve">включения НТО в Схему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или их копий</w:t>
      </w:r>
      <w:r>
        <w:rPr>
          <w:sz w:val="28"/>
          <w:szCs w:val="28"/>
        </w:rPr>
        <w:t xml:space="preserve">, заве</w:t>
      </w:r>
      <w:r>
        <w:rPr>
          <w:sz w:val="28"/>
          <w:szCs w:val="28"/>
        </w:rPr>
        <w:t xml:space="preserve">ренных</w:t>
      </w:r>
      <w:r>
        <w:rPr>
          <w:sz w:val="28"/>
          <w:szCs w:val="28"/>
        </w:rPr>
        <w:t xml:space="preserve"> в установленном порядке</w:t>
      </w:r>
      <w:r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документы)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 xml:space="preserve">осуществляет регистрацию Заявления </w:t>
      </w:r>
      <w:r>
        <w:rPr>
          <w:sz w:val="28"/>
          <w:szCs w:val="28"/>
        </w:rPr>
        <w:t xml:space="preserve">и документов </w:t>
      </w:r>
      <w:r>
        <w:rPr>
          <w:sz w:val="28"/>
          <w:szCs w:val="28"/>
        </w:rPr>
        <w:t xml:space="preserve">в срок не более 1 рабо</w:t>
      </w:r>
      <w:r>
        <w:rPr>
          <w:sz w:val="28"/>
          <w:szCs w:val="28"/>
        </w:rPr>
        <w:t xml:space="preserve">чего дня со дня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поступления.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Департамент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течение 2 рабочих дней со дня регистрации Заявления</w:t>
      </w:r>
      <w:r>
        <w:rPr>
          <w:sz w:val="28"/>
          <w:szCs w:val="28"/>
        </w:rPr>
        <w:t xml:space="preserve"> и документов</w:t>
      </w:r>
      <w:r>
        <w:rPr>
          <w:sz w:val="28"/>
          <w:szCs w:val="28"/>
        </w:rPr>
        <w:t xml:space="preserve"> проводит проверку на наличие документов, предусмотренных </w:t>
      </w:r>
      <w:r>
        <w:rPr>
          <w:sz w:val="28"/>
          <w:szCs w:val="28"/>
        </w:rPr>
        <w:t xml:space="preserve">пунктом</w:t>
      </w:r>
      <w:r>
        <w:rPr>
          <w:sz w:val="28"/>
          <w:szCs w:val="28"/>
        </w:rPr>
        <w:t xml:space="preserve"> 3.2 Порядка включения НТО в Схему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В случае предоставления Заявителем неполного пакета документов </w:t>
      </w:r>
      <w:r>
        <w:rPr>
          <w:sz w:val="28"/>
          <w:szCs w:val="28"/>
        </w:rPr>
        <w:t xml:space="preserve">Департамент</w:t>
      </w:r>
      <w:r>
        <w:rPr>
          <w:sz w:val="28"/>
          <w:szCs w:val="28"/>
        </w:rPr>
        <w:t xml:space="preserve"> в течение 5 рабочих дней со дня регистрации Заявления принимает решение о возврате документов без рассмотрения и направляет соответствующее уведомление Заявителю способом, позволяющим подтвердить факт и дату получения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В случае отсутствия основания</w:t>
      </w:r>
      <w:r>
        <w:rPr>
          <w:sz w:val="28"/>
          <w:szCs w:val="28"/>
        </w:rPr>
        <w:t xml:space="preserve"> для возврата докум</w:t>
      </w:r>
      <w:r>
        <w:rPr>
          <w:sz w:val="28"/>
          <w:szCs w:val="28"/>
        </w:rPr>
        <w:t xml:space="preserve">ентов, предусмо</w:t>
      </w:r>
      <w:r>
        <w:rPr>
          <w:sz w:val="28"/>
          <w:szCs w:val="28"/>
        </w:rPr>
        <w:t xml:space="preserve">тренного</w:t>
      </w:r>
      <w:r>
        <w:rPr>
          <w:sz w:val="28"/>
          <w:szCs w:val="28"/>
        </w:rPr>
        <w:t xml:space="preserve"> пунктом </w:t>
      </w:r>
      <w:r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настоящего Порядка, </w:t>
      </w:r>
      <w:r>
        <w:rPr>
          <w:sz w:val="28"/>
          <w:szCs w:val="28"/>
        </w:rPr>
        <w:t xml:space="preserve">Департамент</w:t>
      </w:r>
      <w:r>
        <w:rPr>
          <w:sz w:val="28"/>
          <w:szCs w:val="28"/>
        </w:rPr>
        <w:t xml:space="preserve"> направляет Заявление и прилагаемые к нему документы для согласования </w:t>
      </w:r>
      <w:r>
        <w:rPr>
          <w:sz w:val="28"/>
          <w:szCs w:val="28"/>
        </w:rPr>
        <w:t xml:space="preserve">на предмет соответствия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требованиям</w:t>
      </w:r>
      <w:r>
        <w:rPr>
          <w:sz w:val="28"/>
          <w:szCs w:val="28"/>
        </w:rPr>
        <w:t xml:space="preserve">, установленным </w:t>
      </w:r>
      <w:r>
        <w:rPr>
          <w:sz w:val="28"/>
          <w:szCs w:val="28"/>
        </w:rPr>
        <w:t xml:space="preserve">Порядком</w:t>
      </w:r>
      <w:r>
        <w:rPr>
          <w:sz w:val="28"/>
          <w:szCs w:val="28"/>
        </w:rPr>
        <w:t xml:space="preserve"> включения НТО в Схему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 следующие органы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департамент градостроительства и архитектуры администрации города Перми;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департамент земельных отношений</w:t>
      </w:r>
      <w:r>
        <w:t xml:space="preserve"> </w:t>
      </w:r>
      <w:r>
        <w:rPr>
          <w:sz w:val="28"/>
          <w:szCs w:val="28"/>
        </w:rPr>
        <w:t xml:space="preserve">администрации города Перми;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 департамент дорог и благоустройства администрации города Перми;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.4. управление по экологии и природопользованию</w:t>
      </w:r>
      <w:r>
        <w:t xml:space="preserve"> </w:t>
      </w:r>
      <w:r>
        <w:rPr>
          <w:sz w:val="28"/>
          <w:szCs w:val="28"/>
        </w:rPr>
        <w:t xml:space="preserve">администрации города Перми;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.5. департамент транспорта</w:t>
      </w:r>
      <w:r>
        <w:t xml:space="preserve"> </w:t>
      </w:r>
      <w:r>
        <w:rPr>
          <w:sz w:val="28"/>
          <w:szCs w:val="28"/>
        </w:rPr>
        <w:t xml:space="preserve">администрации города Перми;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.6. контрольный департамент администрации города Перми;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.7. территориальный орган администрации города Перми</w:t>
      </w:r>
      <w:r>
        <w:rPr>
          <w:sz w:val="28"/>
          <w:szCs w:val="28"/>
        </w:rPr>
        <w:t xml:space="preserve">, на территории деятельности которого</w:t>
      </w:r>
      <w:r>
        <w:t xml:space="preserve"> </w:t>
      </w:r>
      <w:r>
        <w:rPr>
          <w:sz w:val="28"/>
          <w:szCs w:val="28"/>
        </w:rPr>
        <w:t xml:space="preserve">размещен</w:t>
      </w:r>
      <w:r>
        <w:rPr>
          <w:sz w:val="28"/>
          <w:szCs w:val="28"/>
        </w:rPr>
        <w:t xml:space="preserve"> (планируется к размещению)</w:t>
      </w:r>
      <w:r>
        <w:rPr>
          <w:sz w:val="28"/>
          <w:szCs w:val="28"/>
        </w:rPr>
        <w:t xml:space="preserve"> нестационарный торговый объект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Функциональные и территориальные о</w:t>
      </w:r>
      <w:r>
        <w:rPr>
          <w:sz w:val="28"/>
          <w:szCs w:val="28"/>
        </w:rPr>
        <w:t xml:space="preserve">рганы</w:t>
      </w:r>
      <w:r>
        <w:rPr>
          <w:sz w:val="28"/>
          <w:szCs w:val="28"/>
        </w:rPr>
        <w:t xml:space="preserve"> администрации города Перми</w:t>
      </w:r>
      <w:r>
        <w:rPr>
          <w:sz w:val="28"/>
          <w:szCs w:val="28"/>
        </w:rPr>
        <w:t xml:space="preserve">, указанные в пункте 5</w:t>
      </w:r>
      <w:r>
        <w:rPr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в течение 7 </w:t>
      </w:r>
      <w:r>
        <w:rPr>
          <w:sz w:val="28"/>
          <w:szCs w:val="28"/>
        </w:rPr>
        <w:t xml:space="preserve">дней со дня поступления Заявления и прилагаемых к нему документов рассма</w:t>
      </w:r>
      <w:r>
        <w:rPr>
          <w:sz w:val="28"/>
          <w:szCs w:val="28"/>
        </w:rPr>
        <w:t xml:space="preserve">тривают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со своей компетенцией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аявление и прилагаемые к нему документы, принимают решение о согласовании включения нестационарного торгового объекта в Схему или мотивированное решение об отказе</w:t>
      </w:r>
      <w:r>
        <w:rPr>
          <w:sz w:val="28"/>
          <w:szCs w:val="28"/>
        </w:rPr>
        <w:t xml:space="preserve"> в согласовании включения нестационарного объекта в Схему</w:t>
      </w:r>
      <w:r>
        <w:rPr>
          <w:sz w:val="28"/>
          <w:szCs w:val="28"/>
        </w:rPr>
        <w:t xml:space="preserve"> и направляют в </w:t>
      </w:r>
      <w:r>
        <w:rPr>
          <w:sz w:val="28"/>
          <w:szCs w:val="28"/>
        </w:rPr>
        <w:t xml:space="preserve">Департамент</w:t>
      </w:r>
      <w:r>
        <w:rPr>
          <w:sz w:val="28"/>
          <w:szCs w:val="28"/>
        </w:rPr>
        <w:t xml:space="preserve"> письменное уведомление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согласовании либо мотивированное решение</w:t>
      </w:r>
      <w:r>
        <w:rPr>
          <w:sz w:val="28"/>
          <w:szCs w:val="28"/>
        </w:rPr>
        <w:t xml:space="preserve"> об отказе в согласовании включения нестационарного торгового объекта в Схему.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В случае не</w:t>
      </w:r>
      <w:r>
        <w:rPr>
          <w:sz w:val="28"/>
          <w:szCs w:val="28"/>
        </w:rPr>
        <w:t xml:space="preserve">представления </w:t>
      </w:r>
      <w:r>
        <w:rPr>
          <w:sz w:val="28"/>
          <w:szCs w:val="28"/>
        </w:rPr>
        <w:t xml:space="preserve">Департаменту</w:t>
      </w:r>
      <w:r>
        <w:rPr>
          <w:sz w:val="28"/>
          <w:szCs w:val="28"/>
        </w:rPr>
        <w:t xml:space="preserve"> письменного уведомления о принятии решения о согласовании либо мотивированного решения об отказе в согласовании включения нестационарного торгового объекта в Схему в сроки, указанные в абзаце первом настоящего пункта, Заявление </w:t>
      </w:r>
      <w:r>
        <w:rPr>
          <w:sz w:val="28"/>
          <w:szCs w:val="28"/>
        </w:rPr>
        <w:t xml:space="preserve">и документы считаю</w:t>
      </w:r>
      <w:r>
        <w:rPr>
          <w:sz w:val="28"/>
          <w:szCs w:val="28"/>
        </w:rPr>
        <w:t xml:space="preserve">тся согласованным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соответствующим органом.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Для подтверждения достоверности сведений, содержащихся в Заявлении и прилагаемых к нему документах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Департамент вправе направить запрос в иные органы и организации.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течение 3 рабочих дней </w:t>
      </w:r>
      <w:r>
        <w:rPr>
          <w:sz w:val="28"/>
          <w:szCs w:val="28"/>
        </w:rPr>
        <w:t xml:space="preserve">со дня истечения</w:t>
      </w:r>
      <w:r>
        <w:rPr>
          <w:sz w:val="28"/>
          <w:szCs w:val="28"/>
        </w:rPr>
        <w:t xml:space="preserve"> срока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указанного в пункте 6</w:t>
      </w:r>
      <w:r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 xml:space="preserve">, Департамент</w:t>
      </w:r>
      <w:r>
        <w:rPr>
          <w:sz w:val="28"/>
          <w:szCs w:val="28"/>
        </w:rPr>
        <w:t xml:space="preserve"> совместно с контрольным департаментом администрации города Перми, </w:t>
      </w:r>
      <w:r>
        <w:rPr>
          <w:sz w:val="28"/>
          <w:szCs w:val="28"/>
        </w:rPr>
        <w:t xml:space="preserve">территориальным органом администрации города Перми, на территории деятельности которого размещен </w:t>
      </w:r>
      <w:r>
        <w:rPr>
          <w:sz w:val="28"/>
          <w:szCs w:val="28"/>
        </w:rPr>
        <w:t xml:space="preserve">(планируется к размещению) </w:t>
      </w:r>
      <w:r>
        <w:rPr>
          <w:sz w:val="28"/>
          <w:szCs w:val="28"/>
        </w:rPr>
        <w:t xml:space="preserve">нестационарный торговый объект, </w:t>
      </w:r>
      <w:r>
        <w:rPr>
          <w:sz w:val="28"/>
          <w:szCs w:val="28"/>
        </w:rPr>
        <w:t xml:space="preserve">проводят обследование места размещения нестационарного торгового объекта с составлением акта обследования</w:t>
      </w:r>
      <w:r>
        <w:rPr>
          <w:sz w:val="28"/>
          <w:szCs w:val="28"/>
        </w:rPr>
        <w:t xml:space="preserve"> по форме согласно приложению </w:t>
      </w:r>
      <w:r>
        <w:rPr>
          <w:sz w:val="28"/>
          <w:szCs w:val="28"/>
        </w:rPr>
        <w:t xml:space="preserve">к настоящему Порядку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Департамент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учетом</w:t>
      </w:r>
      <w:r>
        <w:rPr>
          <w:sz w:val="28"/>
          <w:szCs w:val="28"/>
        </w:rPr>
        <w:t xml:space="preserve"> уведомлений о согласовании либо мотивированных решений об отказе в согласовании включения нестационарного торгового объекта в Схему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полученных </w:t>
      </w:r>
      <w:r>
        <w:rPr>
          <w:sz w:val="28"/>
          <w:szCs w:val="28"/>
        </w:rPr>
        <w:t xml:space="preserve">от органов, указанных в пункте 5</w:t>
      </w:r>
      <w:r>
        <w:rPr>
          <w:sz w:val="28"/>
          <w:szCs w:val="28"/>
        </w:rPr>
        <w:t xml:space="preserve"> настоящего Порядка,</w:t>
      </w:r>
      <w:r>
        <w:rPr>
          <w:sz w:val="28"/>
          <w:szCs w:val="28"/>
        </w:rPr>
        <w:t xml:space="preserve"> ответов на запросы, полученных от органов, организаций, указанных </w:t>
        <w:br/>
        <w:t xml:space="preserve">в пункте 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а также акта</w:t>
      </w:r>
      <w:r>
        <w:rPr>
          <w:sz w:val="28"/>
          <w:szCs w:val="28"/>
        </w:rPr>
        <w:t xml:space="preserve"> обследования в течение 30 дней со дня регистрации Заявления принимает решение о включении нестационарного </w:t>
      </w:r>
      <w:r>
        <w:rPr>
          <w:sz w:val="28"/>
          <w:szCs w:val="28"/>
        </w:rPr>
        <w:t xml:space="preserve">торгового объекта, размещенного на земельном участке, находящемся в частной собственности, в проект Схемы или об отказе о включении его в Схему.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 Решение об отказе о включении нестационарного торгового объекта </w:t>
        <w:br/>
        <w:t xml:space="preserve">в Схему принимается </w:t>
      </w:r>
      <w:r>
        <w:rPr>
          <w:sz w:val="28"/>
          <w:szCs w:val="28"/>
        </w:rPr>
        <w:t xml:space="preserve">Департаментом</w:t>
      </w:r>
      <w:r>
        <w:rPr>
          <w:sz w:val="28"/>
          <w:szCs w:val="28"/>
        </w:rPr>
        <w:t xml:space="preserve"> при наличии оснований, указанных в пункте 3.8 Порядка включения НТО в Схему.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Департамент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е позднее 5 рабочих дней, следующих за днем прин</w:t>
      </w:r>
      <w:r>
        <w:rPr>
          <w:sz w:val="28"/>
          <w:szCs w:val="28"/>
        </w:rPr>
        <w:t xml:space="preserve">ятия решения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указанного в пункте 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 xml:space="preserve">уведомляет Заявителя </w:t>
        <w:br/>
        <w:t xml:space="preserve">о принятом решении способом, позволяющим подтвердить факт и дату получения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567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567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567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567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567"/>
        <w:jc w:val="both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pacing w:line="240" w:lineRule="exact"/>
        <w:shd w:val="clear" w:color="auto" w:fill="ffffff" w:themeFill="background1"/>
        <w:rPr>
          <w:rFonts w:eastAsia="Calibri" w:cs="Droid San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eastAsia="Calibri" w:cs="Droid Sans"/>
          <w:sz w:val="28"/>
          <w:szCs w:val="28"/>
          <w:lang w:eastAsia="en-US"/>
        </w:rPr>
      </w:r>
      <w:r>
        <w:rPr>
          <w:rFonts w:eastAsia="Calibri" w:cs="Droid Sans"/>
          <w:sz w:val="28"/>
          <w:szCs w:val="28"/>
        </w:rPr>
      </w:r>
      <w:r>
        <w:rPr>
          <w:rFonts w:eastAsia="Calibri" w:cs="Droid Sans"/>
          <w:sz w:val="28"/>
          <w:szCs w:val="28"/>
        </w:rPr>
      </w:r>
    </w:p>
    <w:p>
      <w:pPr>
        <w:contextualSpacing w:val="0"/>
        <w:ind w:left="5669" w:right="0" w:firstLine="0"/>
        <w:jc w:val="left"/>
        <w:spacing w:line="238" w:lineRule="exact"/>
        <w:shd w:val="clear" w:color="auto" w:fill="ffffff" w:themeFill="background1"/>
        <w:rPr>
          <w:rFonts w:eastAsia="Calibri" w:cs="Droid San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eastAsia="Calibri" w:cs="Droid Sans"/>
          <w:sz w:val="28"/>
          <w:szCs w:val="28"/>
          <w:lang w:eastAsia="en-US"/>
        </w:rPr>
        <w:t xml:space="preserve">Приложени</w:t>
      </w:r>
      <w:r>
        <w:rPr>
          <w:rFonts w:eastAsia="Tahoma" w:cs="Droid Sans"/>
          <w:sz w:val="28"/>
          <w:szCs w:val="28"/>
        </w:rPr>
        <w:t xml:space="preserve">е </w:t>
      </w:r>
      <w:r>
        <w:rPr>
          <w:rFonts w:eastAsia="Calibri" w:cs="Droid Sans"/>
          <w:sz w:val="28"/>
          <w:szCs w:val="28"/>
        </w:rPr>
      </w:r>
      <w:r>
        <w:rPr>
          <w:rFonts w:eastAsia="Calibri" w:cs="Droid Sans"/>
          <w:sz w:val="28"/>
          <w:szCs w:val="28"/>
        </w:rPr>
      </w:r>
    </w:p>
    <w:p>
      <w:pPr>
        <w:contextualSpacing w:val="0"/>
        <w:ind w:left="5669" w:right="0" w:firstLine="0"/>
        <w:jc w:val="left"/>
        <w:spacing w:line="238" w:lineRule="exac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eastAsia="Calibri" w:cs="Droid Sans"/>
          <w:sz w:val="28"/>
          <w:szCs w:val="28"/>
          <w:lang w:eastAsia="en-US"/>
        </w:rPr>
        <w:t xml:space="preserve">к Порядку </w:t>
      </w:r>
      <w:r>
        <w:rPr>
          <w:bCs/>
          <w:sz w:val="28"/>
          <w:szCs w:val="28"/>
        </w:rPr>
        <w:t xml:space="preserve">рассмотрения заявлений о включении нестационарных </w:t>
        <w:br/>
        <w:t xml:space="preserve">торговых объектов, размещенных на земельных участках, </w:t>
        <w:br/>
        <w:t xml:space="preserve">находящихся в частной </w:t>
        <w:br/>
        <w:t xml:space="preserve">собственности, в схему </w:t>
        <w:br/>
        <w:t xml:space="preserve">размещения нестационарных </w:t>
        <w:br/>
        <w:t xml:space="preserve">торговых объектов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567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4678"/>
        <w:jc w:val="right"/>
        <w:shd w:val="clear" w:color="auto" w:fill="ffffff" w:themeFill="background1"/>
        <w:rPr>
          <w:rFonts w:eastAsia="Tahoma" w:cs="Droid Sans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rFonts w:eastAsia="Tahoma" w:cs="Droid Sans"/>
          <w:b/>
          <w:bCs/>
          <w:sz w:val="28"/>
          <w:szCs w:val="28"/>
        </w:rPr>
        <w:t xml:space="preserve">ФОРМА</w:t>
      </w:r>
      <w:r>
        <w:rPr>
          <w:rFonts w:eastAsia="Tahoma" w:cs="Droid Sans"/>
          <w:b/>
          <w:bCs/>
          <w:sz w:val="28"/>
          <w:szCs w:val="28"/>
        </w:rPr>
      </w:r>
      <w:r>
        <w:rPr>
          <w:rFonts w:eastAsia="Tahoma" w:cs="Droid Sans"/>
          <w:b/>
          <w:bCs/>
          <w:sz w:val="28"/>
          <w:szCs w:val="28"/>
        </w:rPr>
      </w:r>
    </w:p>
    <w:p>
      <w:pPr>
        <w:contextualSpacing w:val="0"/>
        <w:ind w:firstLine="567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center"/>
        <w:spacing w:line="238" w:lineRule="exact"/>
        <w:shd w:val="clear" w:color="auto" w:fill="ffffff" w:themeFill="background1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bCs/>
          <w:sz w:val="28"/>
          <w:szCs w:val="28"/>
        </w:rPr>
        <w:t xml:space="preserve">АКТ </w:t>
      </w:r>
      <w:r>
        <w:rPr>
          <w:b/>
          <w:bCs/>
          <w:sz w:val="28"/>
          <w:szCs w:val="28"/>
        </w:rPr>
        <w:br/>
        <w:t xml:space="preserve">обследования </w:t>
      </w:r>
      <w:r>
        <w:rPr>
          <w:b/>
          <w:sz w:val="28"/>
          <w:szCs w:val="28"/>
        </w:rPr>
        <w:t xml:space="preserve">места размещения нестационарного торгового объекта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100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"/>
        <w:gridCol w:w="372"/>
        <w:gridCol w:w="274"/>
        <w:gridCol w:w="1647"/>
        <w:gridCol w:w="2070"/>
        <w:gridCol w:w="3404"/>
        <w:gridCol w:w="1979"/>
        <w:gridCol w:w="142"/>
      </w:tblGrid>
      <w:tr>
        <w:tblPrEx/>
        <w:trPr>
          <w:trHeight w:val="374"/>
        </w:trPr>
        <w:tc>
          <w:tcPr>
            <w:tcW w:w="204" w:type="dxa"/>
            <w:vAlign w:val="bottom"/>
            <w:textDirection w:val="lrTb"/>
            <w:noWrap w:val="false"/>
          </w:tcPr>
          <w:p>
            <w:pPr>
              <w:contextualSpacing w:val="0"/>
              <w:jc w:val="left"/>
              <w:shd w:val="clear" w:color="auto" w:fill="ffffff" w:themeFill="background1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372" w:type="dxa"/>
            <w:vAlign w:val="bottom"/>
            <w:textDirection w:val="lrTb"/>
            <w:noWrap w:val="false"/>
          </w:tcPr>
          <w:p>
            <w:pPr>
              <w:contextualSpacing w:val="0"/>
              <w:jc w:val="left"/>
              <w:shd w:val="clear" w:color="auto" w:fill="ffffff" w:themeFill="background1"/>
              <w:rPr>
                <w:b/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i/>
                <w:sz w:val="28"/>
                <w:szCs w:val="28"/>
              </w:rPr>
              <w:t xml:space="preserve">__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  <w:tc>
          <w:tcPr>
            <w:tcW w:w="274" w:type="dxa"/>
            <w:vAlign w:val="bottom"/>
            <w:textDirection w:val="lrTb"/>
            <w:noWrap w:val="false"/>
          </w:tcPr>
          <w:p>
            <w:pPr>
              <w:contextualSpacing w:val="0"/>
              <w:jc w:val="left"/>
              <w:shd w:val="clear" w:color="auto" w:fill="ffffff" w:themeFill="background1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647" w:type="dxa"/>
            <w:vAlign w:val="bottom"/>
            <w:textDirection w:val="lrTb"/>
            <w:noWrap w:val="false"/>
          </w:tcPr>
          <w:p>
            <w:pPr>
              <w:contextualSpacing w:val="0"/>
              <w:jc w:val="left"/>
              <w:shd w:val="clear" w:color="auto" w:fill="ffffff" w:themeFill="background1"/>
              <w:rPr>
                <w:b/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i/>
                <w:sz w:val="28"/>
                <w:szCs w:val="28"/>
              </w:rPr>
              <w:t xml:space="preserve">___________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  <w:tc>
          <w:tcPr>
            <w:tcW w:w="2070" w:type="dxa"/>
            <w:vAlign w:val="bottom"/>
            <w:textDirection w:val="lrTb"/>
            <w:noWrap w:val="false"/>
          </w:tcPr>
          <w:p>
            <w:pPr>
              <w:contextualSpacing w:val="0"/>
              <w:jc w:val="left"/>
              <w:shd w:val="clear" w:color="auto" w:fill="ffffff" w:themeFill="background1"/>
              <w:rPr>
                <w:bCs/>
                <w:i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Cs/>
                <w:iCs/>
                <w:sz w:val="28"/>
                <w:szCs w:val="28"/>
              </w:rPr>
              <w:t xml:space="preserve">2026 г.</w:t>
            </w:r>
            <w:r>
              <w:rPr>
                <w:bCs/>
                <w:iCs/>
                <w:sz w:val="28"/>
                <w:szCs w:val="28"/>
              </w:rPr>
            </w:r>
            <w:r>
              <w:rPr>
                <w:bCs/>
                <w:iCs/>
                <w:sz w:val="28"/>
                <w:szCs w:val="28"/>
              </w:rPr>
            </w:r>
          </w:p>
        </w:tc>
        <w:tc>
          <w:tcPr>
            <w:tcW w:w="3404" w:type="dxa"/>
            <w:vAlign w:val="bottom"/>
            <w:textDirection w:val="lrTb"/>
            <w:noWrap w:val="false"/>
          </w:tcPr>
          <w:p>
            <w:pPr>
              <w:contextualSpacing w:val="0"/>
              <w:jc w:val="left"/>
              <w:shd w:val="clear" w:color="auto" w:fill="ffffff" w:themeFill="background1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8"/>
                <w:szCs w:val="28"/>
              </w:rPr>
              <w:t xml:space="preserve">__.__ 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79" w:type="dxa"/>
            <w:vAlign w:val="bottom"/>
            <w:textDirection w:val="lrTb"/>
            <w:noWrap w:val="false"/>
          </w:tcPr>
          <w:p>
            <w:pPr>
              <w:contextualSpacing w:val="0"/>
              <w:ind w:right="57"/>
              <w:jc w:val="left"/>
              <w:shd w:val="clear" w:color="auto" w:fill="ffffff" w:themeFill="background1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sz w:val="28"/>
                <w:szCs w:val="28"/>
              </w:rPr>
              <w:t xml:space="preserve">№_________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2" w:type="dxa"/>
            <w:vAlign w:val="bottom"/>
            <w:textDirection w:val="lrTb"/>
            <w:noWrap w:val="false"/>
          </w:tcPr>
          <w:p>
            <w:pPr>
              <w:contextualSpacing w:val="0"/>
              <w:jc w:val="left"/>
              <w:shd w:val="clear" w:color="auto" w:fill="ffffff" w:themeFill="background1"/>
              <w:rPr>
                <w:b/>
                <w:i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</w:tbl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sz w:val="28"/>
          <w:szCs w:val="28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contextualSpacing w:val="0"/>
        <w:ind w:left="0" w:right="0" w:firstLine="709"/>
        <w:jc w:val="center"/>
        <w:shd w:val="clear" w:color="auto" w:fill="ffffff" w:themeFill="background1"/>
        <w:tabs>
          <w:tab w:val="right" w:pos="992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Представителем(лями</w:t>
      </w:r>
      <w:r>
        <w:rPr>
          <w:sz w:val="28"/>
          <w:szCs w:val="28"/>
        </w:rPr>
        <w:t xml:space="preserve">) контрольного департамента администрации города Перми</w:t>
      </w:r>
      <w:r>
        <w:rPr>
          <w:sz w:val="28"/>
          <w:szCs w:val="28"/>
        </w:rPr>
        <w:t xml:space="preserve"> ________________________________________________________________</w:t>
      </w:r>
      <w:r>
        <w:rPr>
          <w:sz w:val="28"/>
          <w:szCs w:val="28"/>
        </w:rPr>
        <w:t xml:space="preserve">,</w:t>
      </w:r>
      <w:r>
        <w:rPr>
          <w:szCs w:val="24"/>
        </w:rPr>
        <w:t xml:space="preserve"> </w:t>
      </w:r>
      <w:r>
        <w:rPr>
          <w:sz w:val="24"/>
          <w:szCs w:val="24"/>
        </w:rPr>
        <w:t xml:space="preserve">(должность, Ф.И.О.</w:t>
      </w:r>
      <w:r>
        <w:rPr>
          <w:sz w:val="24"/>
          <w:szCs w:val="24"/>
        </w:rPr>
        <w:t xml:space="preserve"> (последнее – при наличии)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left"/>
        <w:shd w:val="clear" w:color="auto" w:fill="ffffff" w:themeFill="background1"/>
        <w:tabs>
          <w:tab w:val="right" w:pos="992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представителем(лями</w:t>
      </w:r>
      <w:r>
        <w:rPr>
          <w:sz w:val="28"/>
          <w:szCs w:val="28"/>
        </w:rPr>
        <w:t xml:space="preserve">) департамента</w:t>
      </w:r>
      <w:r>
        <w:rPr>
          <w:sz w:val="28"/>
          <w:szCs w:val="28"/>
        </w:rPr>
        <w:t xml:space="preserve"> экономики и промышленной полити</w:t>
      </w:r>
      <w:r>
        <w:rPr>
          <w:sz w:val="28"/>
          <w:szCs w:val="28"/>
        </w:rPr>
        <w:t xml:space="preserve">ки адми</w:t>
      </w:r>
      <w:r>
        <w:rPr>
          <w:sz w:val="28"/>
          <w:szCs w:val="28"/>
          <w:u w:val="none"/>
        </w:rPr>
        <w:t xml:space="preserve">нистрации города Перми 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  <w:u w:val="none"/>
        </w:rPr>
        <w:t xml:space="preserve">______________________________________________________________________,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jc w:val="center"/>
        <w:shd w:val="clear" w:color="auto" w:fill="ffffff" w:themeFill="background1"/>
        <w:tabs>
          <w:tab w:val="right" w:pos="9921" w:leader="none"/>
        </w:tabs>
        <w:rPr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4"/>
          <w:szCs w:val="24"/>
        </w:rPr>
        <w:t xml:space="preserve">(должность, Ф.И.О. (последнее – при наличии)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</w:rPr>
        <w:t xml:space="preserve">представителем(лями</w:t>
      </w:r>
      <w:r>
        <w:rPr>
          <w:sz w:val="28"/>
          <w:szCs w:val="28"/>
        </w:rPr>
        <w:t xml:space="preserve">) администрации</w:t>
      </w: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 xml:space="preserve">__________________________ </w:t>
      </w:r>
      <w:r>
        <w:rPr>
          <w:sz w:val="28"/>
          <w:szCs w:val="28"/>
        </w:rPr>
        <w:t xml:space="preserve">района</w:t>
      </w:r>
      <w:r>
        <w:rPr>
          <w:sz w:val="28"/>
          <w:szCs w:val="28"/>
        </w:rPr>
        <w:t xml:space="preserve"> </w:t>
        <w:br/>
        <w:t xml:space="preserve">(поселка Новые Ляды)</w:t>
      </w:r>
      <w:r>
        <w:rPr>
          <w:sz w:val="28"/>
          <w:szCs w:val="28"/>
        </w:rPr>
        <w:t xml:space="preserve"> города Перми 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</w:t>
      </w:r>
      <w:r>
        <w:rPr>
          <w:sz w:val="28"/>
          <w:szCs w:val="28"/>
          <w:u w:val="none"/>
        </w:rPr>
        <w:t xml:space="preserve">_____________________________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contextualSpacing w:val="0"/>
        <w:jc w:val="center"/>
        <w:shd w:val="clear" w:color="auto" w:fill="ffffff" w:themeFill="background1"/>
        <w:tabs>
          <w:tab w:val="right" w:pos="9921" w:leader="none"/>
        </w:tabs>
        <w:rPr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u w:val="none"/>
        </w:rPr>
      </w:r>
      <w:r>
        <w:rPr>
          <w:sz w:val="24"/>
          <w:szCs w:val="24"/>
        </w:rPr>
        <w:t xml:space="preserve">(должность, Ф.И.О.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(последнее – при наличии)</w:t>
      </w: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</w:r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u w:val="none"/>
        </w:rPr>
      </w:r>
      <w:r>
        <w:rPr>
          <w:sz w:val="28"/>
          <w:szCs w:val="28"/>
        </w:rPr>
        <w:t xml:space="preserve">проведено обследование </w:t>
      </w:r>
      <w:r>
        <w:rPr>
          <w:sz w:val="28"/>
          <w:szCs w:val="28"/>
        </w:rPr>
        <w:t xml:space="preserve">места размещения </w:t>
      </w:r>
      <w:r>
        <w:rPr>
          <w:sz w:val="28"/>
          <w:szCs w:val="28"/>
        </w:rPr>
        <w:t xml:space="preserve">нестационарного торгового объекта (далее – НТО):</w:t>
      </w: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</w:r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u w:val="none"/>
        </w:rPr>
      </w:r>
      <w:r>
        <w:rPr>
          <w:sz w:val="28"/>
          <w:szCs w:val="28"/>
        </w:rPr>
        <w:t xml:space="preserve">вид объекта: 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 w:val="0"/>
          <w:bCs w:val="0"/>
          <w:sz w:val="28"/>
          <w:szCs w:val="28"/>
        </w:rPr>
        <w:t xml:space="preserve">адресные ориентиры: г. Пермь, ул. ________________________________________</w:t>
      </w:r>
      <w:r>
        <w:rPr>
          <w:b w:val="0"/>
          <w:bCs w:val="0"/>
          <w:sz w:val="28"/>
          <w:szCs w:val="28"/>
        </w:rPr>
        <w:t xml:space="preserve">,</w:t>
      </w:r>
      <w:r>
        <w:rPr>
          <w:sz w:val="28"/>
          <w:szCs w:val="28"/>
          <w:highlight w:val="none"/>
          <w:u w:val="none"/>
        </w:rPr>
      </w:r>
      <w:r/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 w:val="0"/>
          <w:bCs w:val="0"/>
          <w:sz w:val="28"/>
          <w:szCs w:val="28"/>
        </w:rPr>
        <w:t xml:space="preserve">площадь: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________ </w:t>
      </w:r>
      <w:r>
        <w:rPr>
          <w:b w:val="0"/>
          <w:bCs w:val="0"/>
          <w:sz w:val="28"/>
          <w:szCs w:val="28"/>
        </w:rPr>
        <w:t xml:space="preserve">кв. м (ширина_______, длина___________, высота _________)</w:t>
      </w:r>
      <w:r>
        <w:rPr>
          <w:b w:val="0"/>
          <w:bCs w:val="0"/>
          <w:sz w:val="28"/>
          <w:szCs w:val="28"/>
        </w:rPr>
        <w:t xml:space="preserve">,</w:t>
      </w:r>
      <w:r>
        <w:rPr>
          <w:sz w:val="28"/>
          <w:szCs w:val="28"/>
          <w:highlight w:val="none"/>
          <w:u w:val="none"/>
        </w:rPr>
      </w:r>
      <w:r>
        <w:rPr>
          <w:sz w:val="28"/>
          <w:szCs w:val="28"/>
          <w:highlight w:val="none"/>
          <w:u w:val="none"/>
        </w:rPr>
      </w:r>
    </w:p>
    <w:p>
      <w:pPr>
        <w:contextualSpacing w:val="0"/>
        <w:jc w:val="left"/>
        <w:shd w:val="clear" w:color="auto" w:fill="ffffff" w:themeFill="background1"/>
        <w:tabs>
          <w:tab w:val="right" w:pos="9921" w:leader="none"/>
        </w:tabs>
        <w:rPr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 w:val="0"/>
          <w:bCs w:val="0"/>
          <w:sz w:val="28"/>
          <w:szCs w:val="28"/>
        </w:rPr>
        <w:t xml:space="preserve">специализация: </w:t>
      </w:r>
      <w:r>
        <w:rPr>
          <w:b w:val="0"/>
          <w:bCs w:val="0"/>
          <w:sz w:val="28"/>
          <w:szCs w:val="28"/>
        </w:rPr>
        <w:t xml:space="preserve">________________________________________________________,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кадастровый номер земельного участка____________________________________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. (последнее – при наличии)</w:t>
      </w:r>
      <w:r>
        <w:rPr>
          <w:sz w:val="28"/>
          <w:szCs w:val="28"/>
        </w:rPr>
        <w:t xml:space="preserve"> собственника земельного участка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наименование юридического лица, Ф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. (последнее – при наличии)</w:t>
      </w:r>
      <w:r>
        <w:rPr>
          <w:sz w:val="28"/>
          <w:szCs w:val="28"/>
        </w:rPr>
        <w:t xml:space="preserve"> индивидуального предпринимателя или самозанятого 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bCs/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 соответстви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 пункт</w:t>
      </w:r>
      <w:r>
        <w:rPr>
          <w:bCs/>
          <w:sz w:val="28"/>
          <w:szCs w:val="28"/>
        </w:rPr>
        <w:t xml:space="preserve">ом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3.5</w:t>
      </w:r>
      <w:r>
        <w:rPr>
          <w:bCs/>
          <w:sz w:val="28"/>
          <w:szCs w:val="28"/>
        </w:rPr>
        <w:t xml:space="preserve">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и </w:t>
      </w:r>
      <w:r>
        <w:rPr>
          <w:bCs/>
          <w:sz w:val="28"/>
          <w:szCs w:val="28"/>
        </w:rPr>
        <w:t xml:space="preserve">исключения таких объектов, утвержденного приказом </w:t>
      </w:r>
      <w:r>
        <w:rPr>
          <w:sz w:val="28"/>
          <w:szCs w:val="28"/>
        </w:rPr>
        <w:t xml:space="preserve">Министерства промышленности и торговли Пермского края от 29 мая 2026 г. № 03-01-03-87 (далее – Порядок).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  <w:t xml:space="preserve">Обследование НТО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проведено путем визуального осмотра с использованием измерительной металлической рулетки _________ № __________, поверенной</w:t>
      </w: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 xml:space="preserve">(свидетельство о поверке № </w:t>
      </w:r>
      <w:r>
        <w:rPr>
          <w:sz w:val="28"/>
          <w:szCs w:val="28"/>
        </w:rPr>
        <w:t xml:space="preserve">____________ от ___________________).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left"/>
        <w:shd w:val="clear" w:color="auto" w:fill="ffffff" w:themeFill="background1"/>
        <w:rPr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  <w:t xml:space="preserve">По итогам обследования установлено (нужное отметить):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bCs/>
          <w:sz w:val="28"/>
          <w:szCs w:val="28"/>
        </w:rPr>
        <w:t xml:space="preserve">размещение НТО соответствует / не соответствует требованиям Порядка.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jc w:val="left"/>
        <w:shd w:val="clear" w:color="auto" w:fill="ffffff" w:themeFill="background1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b/>
          <w:bCs/>
          <w:sz w:val="28"/>
          <w:szCs w:val="28"/>
          <w:highlight w:val="none"/>
        </w:rPr>
      </w:r>
      <w:r>
        <w:rPr>
          <w:bCs/>
          <w:sz w:val="28"/>
          <w:szCs w:val="28"/>
        </w:rPr>
        <w:t xml:space="preserve">Выяв</w:t>
      </w:r>
      <w:r>
        <w:rPr>
          <w:sz w:val="28"/>
          <w:szCs w:val="28"/>
        </w:rPr>
        <w:t xml:space="preserve">ленные нарушения требований Порядка: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left="0" w:right="0" w:firstLine="709"/>
        <w:jc w:val="left"/>
        <w:shd w:val="clear" w:color="auto" w:fill="ffffff" w:themeFill="background1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В ходе визуального обследования проводилась фото-, видеосъемка (нужное подчеркнуть), к акту приобщены документы (указать):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74"/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3118"/>
        <w:gridCol w:w="2092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(Ф.И.О. (последнее – </w:t>
              <w:br/>
              <w:t xml:space="preserve">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927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(Ф.И.О. (последнее – </w:t>
              <w:br/>
              <w:t xml:space="preserve">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18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92" w:type="dxa"/>
            <w:vMerge w:val="restart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</w:rPr>
              <w:t xml:space="preserve">(Ф.И.О. (последнее – </w:t>
              <w:br/>
              <w:t xml:space="preserve">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18" w:type="dxa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(должность)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 w:val="false"/>
          </w:tcPr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center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9"/>
        <w:jc w:val="left"/>
        <w:shd w:val="clear" w:color="auto" w:fill="ffffff" w:themeFill="background1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606030804020204"/>
  </w:font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0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6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8"/>
      <w:rPr>
        <w:rStyle w:val="920"/>
      </w:rPr>
      <w:framePr w:wrap="around" w:vAnchor="text" w:hAnchor="margin" w:xAlign="center" w:y="1"/>
    </w:pPr>
    <w:r>
      <w:rPr>
        <w:rStyle w:val="920"/>
      </w:rPr>
      <w:fldChar w:fldCharType="begin"/>
    </w:r>
    <w:r>
      <w:rPr>
        <w:rStyle w:val="920"/>
      </w:rPr>
      <w:instrText xml:space="preserve">PAGE  </w:instrText>
    </w:r>
    <w:r>
      <w:rPr>
        <w:rStyle w:val="920"/>
      </w:rPr>
      <w:fldChar w:fldCharType="end"/>
    </w:r>
    <w:r>
      <w:rPr>
        <w:rStyle w:val="920"/>
      </w:rPr>
    </w:r>
    <w:r>
      <w:rPr>
        <w:rStyle w:val="920"/>
      </w:rPr>
    </w:r>
  </w:p>
  <w:p>
    <w:pPr>
      <w:pStyle w:val="76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Heading 1 Char"/>
    <w:basedOn w:val="746"/>
    <w:link w:val="7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2">
    <w:name w:val="Heading 2 Char"/>
    <w:basedOn w:val="746"/>
    <w:link w:val="738"/>
    <w:uiPriority w:val="9"/>
    <w:rPr>
      <w:rFonts w:ascii="Liberation Sans" w:hAnsi="Liberation Sans" w:eastAsia="Liberation Sans" w:cs="Liberation Sans"/>
      <w:sz w:val="34"/>
    </w:rPr>
  </w:style>
  <w:style w:type="character" w:styleId="703">
    <w:name w:val="Heading 3 Char"/>
    <w:basedOn w:val="746"/>
    <w:link w:val="73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4 Char"/>
    <w:basedOn w:val="746"/>
    <w:link w:val="74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5">
    <w:name w:val="Heading 5 Char"/>
    <w:basedOn w:val="746"/>
    <w:link w:val="74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6">
    <w:name w:val="Heading 6 Char"/>
    <w:basedOn w:val="746"/>
    <w:link w:val="74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7">
    <w:name w:val="Heading 7 Char"/>
    <w:basedOn w:val="746"/>
    <w:link w:val="74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8">
    <w:name w:val="Heading 8 Char"/>
    <w:basedOn w:val="746"/>
    <w:link w:val="74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9">
    <w:name w:val="Heading 9 Char"/>
    <w:basedOn w:val="746"/>
    <w:link w:val="74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0">
    <w:name w:val="Title Char"/>
    <w:basedOn w:val="746"/>
    <w:link w:val="760"/>
    <w:uiPriority w:val="10"/>
    <w:rPr>
      <w:sz w:val="48"/>
      <w:szCs w:val="48"/>
    </w:rPr>
  </w:style>
  <w:style w:type="character" w:styleId="711">
    <w:name w:val="Subtitle Char"/>
    <w:basedOn w:val="746"/>
    <w:link w:val="762"/>
    <w:uiPriority w:val="11"/>
    <w:rPr>
      <w:sz w:val="24"/>
      <w:szCs w:val="24"/>
    </w:rPr>
  </w:style>
  <w:style w:type="character" w:styleId="712">
    <w:name w:val="Quote Char"/>
    <w:link w:val="764"/>
    <w:uiPriority w:val="29"/>
    <w:rPr>
      <w:i/>
    </w:rPr>
  </w:style>
  <w:style w:type="character" w:styleId="713">
    <w:name w:val="Intense Quote Char"/>
    <w:link w:val="766"/>
    <w:uiPriority w:val="30"/>
    <w:rPr>
      <w:i/>
    </w:rPr>
  </w:style>
  <w:style w:type="character" w:styleId="714">
    <w:name w:val="Caption Char"/>
    <w:basedOn w:val="746"/>
    <w:link w:val="772"/>
    <w:uiPriority w:val="35"/>
    <w:rPr>
      <w:b/>
      <w:bCs/>
      <w:color w:val="4f81bd" w:themeColor="accent1"/>
      <w:sz w:val="18"/>
      <w:szCs w:val="18"/>
    </w:rPr>
  </w:style>
  <w:style w:type="table" w:styleId="715">
    <w:name w:val="Plain Table 1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6">
    <w:name w:val="Grid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32">
    <w:name w:val="List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33">
    <w:name w:val="List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734">
    <w:name w:val="Footnote Text Char"/>
    <w:link w:val="901"/>
    <w:uiPriority w:val="99"/>
    <w:rPr>
      <w:sz w:val="18"/>
    </w:rPr>
  </w:style>
  <w:style w:type="character" w:styleId="735">
    <w:name w:val="Endnote Text Char"/>
    <w:link w:val="904"/>
    <w:uiPriority w:val="99"/>
    <w:rPr>
      <w:sz w:val="20"/>
    </w:rPr>
  </w:style>
  <w:style w:type="paragraph" w:styleId="736" w:default="1">
    <w:name w:val="Normal"/>
    <w:qFormat/>
    <w:rPr>
      <w:lang w:eastAsia="ru-RU"/>
    </w:rPr>
  </w:style>
  <w:style w:type="paragraph" w:styleId="737">
    <w:name w:val="Heading 1"/>
    <w:basedOn w:val="736"/>
    <w:next w:val="736"/>
    <w:link w:val="749"/>
    <w:qFormat/>
    <w:pPr>
      <w:ind w:right="-1" w:firstLine="709"/>
      <w:jc w:val="both"/>
      <w:keepNext/>
      <w:outlineLvl w:val="0"/>
    </w:pPr>
    <w:rPr>
      <w:sz w:val="24"/>
    </w:rPr>
  </w:style>
  <w:style w:type="paragraph" w:styleId="738">
    <w:name w:val="Heading 2"/>
    <w:basedOn w:val="736"/>
    <w:next w:val="736"/>
    <w:link w:val="750"/>
    <w:qFormat/>
    <w:pPr>
      <w:ind w:right="-1"/>
      <w:jc w:val="both"/>
      <w:keepNext/>
      <w:outlineLvl w:val="1"/>
    </w:pPr>
    <w:rPr>
      <w:sz w:val="24"/>
    </w:rPr>
  </w:style>
  <w:style w:type="paragraph" w:styleId="739">
    <w:name w:val="Heading 3"/>
    <w:basedOn w:val="736"/>
    <w:next w:val="736"/>
    <w:link w:val="75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7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5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Заголовок 1 Знак"/>
    <w:link w:val="737"/>
    <w:uiPriority w:val="9"/>
    <w:rPr>
      <w:rFonts w:ascii="Arial" w:hAnsi="Arial" w:eastAsia="Arial" w:cs="Arial"/>
      <w:sz w:val="40"/>
      <w:szCs w:val="40"/>
    </w:rPr>
  </w:style>
  <w:style w:type="character" w:styleId="750" w:customStyle="1">
    <w:name w:val="Заголовок 2 Знак"/>
    <w:link w:val="738"/>
    <w:uiPriority w:val="9"/>
    <w:rPr>
      <w:rFonts w:ascii="Arial" w:hAnsi="Arial" w:eastAsia="Arial" w:cs="Arial"/>
      <w:sz w:val="34"/>
    </w:rPr>
  </w:style>
  <w:style w:type="character" w:styleId="751" w:customStyle="1">
    <w:name w:val="Заголовок 3 Знак"/>
    <w:link w:val="739"/>
    <w:uiPriority w:val="9"/>
    <w:rPr>
      <w:rFonts w:ascii="Arial" w:hAnsi="Arial" w:eastAsia="Arial" w:cs="Arial"/>
      <w:sz w:val="30"/>
      <w:szCs w:val="30"/>
    </w:rPr>
  </w:style>
  <w:style w:type="character" w:styleId="752" w:customStyle="1">
    <w:name w:val="Заголовок 4 Знак"/>
    <w:link w:val="740"/>
    <w:uiPriority w:val="9"/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Заголовок 5 Знак"/>
    <w:link w:val="741"/>
    <w:uiPriority w:val="9"/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Заголовок 6 Знак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Заголовок 7 Знак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Заголовок 8 Знак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Заголовок 9 Знак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List Paragraph"/>
    <w:basedOn w:val="7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5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0">
    <w:name w:val="Title"/>
    <w:basedOn w:val="736"/>
    <w:next w:val="736"/>
    <w:link w:val="7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1" w:customStyle="1">
    <w:name w:val="Название Знак"/>
    <w:link w:val="760"/>
    <w:uiPriority w:val="10"/>
    <w:rPr>
      <w:sz w:val="48"/>
      <w:szCs w:val="48"/>
    </w:rPr>
  </w:style>
  <w:style w:type="paragraph" w:styleId="762">
    <w:name w:val="Subtitle"/>
    <w:basedOn w:val="736"/>
    <w:next w:val="736"/>
    <w:link w:val="763"/>
    <w:uiPriority w:val="11"/>
    <w:qFormat/>
    <w:pPr>
      <w:spacing w:before="200" w:after="200"/>
    </w:pPr>
    <w:rPr>
      <w:sz w:val="24"/>
      <w:szCs w:val="24"/>
    </w:rPr>
  </w:style>
  <w:style w:type="character" w:styleId="763" w:customStyle="1">
    <w:name w:val="Подзаголовок Знак"/>
    <w:link w:val="762"/>
    <w:uiPriority w:val="11"/>
    <w:rPr>
      <w:sz w:val="24"/>
      <w:szCs w:val="24"/>
    </w:rPr>
  </w:style>
  <w:style w:type="paragraph" w:styleId="764">
    <w:name w:val="Quote"/>
    <w:basedOn w:val="736"/>
    <w:next w:val="736"/>
    <w:link w:val="765"/>
    <w:uiPriority w:val="29"/>
    <w:qFormat/>
    <w:pPr>
      <w:ind w:left="720" w:right="720"/>
    </w:pPr>
    <w:rPr>
      <w:i/>
    </w:rPr>
  </w:style>
  <w:style w:type="character" w:styleId="765" w:customStyle="1">
    <w:name w:val="Цитата 2 Знак"/>
    <w:link w:val="764"/>
    <w:uiPriority w:val="29"/>
    <w:rPr>
      <w:i/>
    </w:rPr>
  </w:style>
  <w:style w:type="paragraph" w:styleId="766">
    <w:name w:val="Intense Quote"/>
    <w:basedOn w:val="736"/>
    <w:next w:val="736"/>
    <w:link w:val="76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 w:customStyle="1">
    <w:name w:val="Выделенная цитата Знак"/>
    <w:link w:val="766"/>
    <w:uiPriority w:val="30"/>
    <w:rPr>
      <w:i/>
    </w:rPr>
  </w:style>
  <w:style w:type="paragraph" w:styleId="768">
    <w:name w:val="Header"/>
    <w:basedOn w:val="736"/>
    <w:link w:val="923"/>
    <w:uiPriority w:val="99"/>
    <w:pPr>
      <w:tabs>
        <w:tab w:val="center" w:pos="4153" w:leader="none"/>
        <w:tab w:val="right" w:pos="8306" w:leader="none"/>
      </w:tabs>
    </w:pPr>
  </w:style>
  <w:style w:type="character" w:styleId="769" w:customStyle="1">
    <w:name w:val="Header Char"/>
    <w:uiPriority w:val="99"/>
  </w:style>
  <w:style w:type="paragraph" w:styleId="770">
    <w:name w:val="Footer"/>
    <w:basedOn w:val="736"/>
    <w:link w:val="999"/>
    <w:uiPriority w:val="99"/>
    <w:pPr>
      <w:tabs>
        <w:tab w:val="center" w:pos="4153" w:leader="none"/>
        <w:tab w:val="right" w:pos="8306" w:leader="none"/>
      </w:tabs>
    </w:pPr>
  </w:style>
  <w:style w:type="character" w:styleId="771" w:customStyle="1">
    <w:name w:val="Footer Char"/>
    <w:uiPriority w:val="99"/>
  </w:style>
  <w:style w:type="paragraph" w:styleId="772">
    <w:name w:val="Caption"/>
    <w:basedOn w:val="736"/>
    <w:next w:val="736"/>
    <w:link w:val="773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73" w:customStyle="1">
    <w:name w:val="Название объекта Знак"/>
    <w:link w:val="772"/>
    <w:uiPriority w:val="35"/>
    <w:rPr>
      <w:b/>
      <w:bCs/>
      <w:color w:val="4f81bd" w:themeColor="accent1"/>
      <w:sz w:val="18"/>
      <w:szCs w:val="18"/>
    </w:rPr>
  </w:style>
  <w:style w:type="table" w:styleId="774">
    <w:name w:val="Table Grid"/>
    <w:basedOn w:val="747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7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8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9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1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0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0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9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1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1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6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3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44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2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9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0">
    <w:name w:val="Hyperlink"/>
    <w:uiPriority w:val="99"/>
    <w:unhideWhenUsed/>
    <w:rPr>
      <w:color w:val="0000ff"/>
      <w:u w:val="single"/>
    </w:rPr>
  </w:style>
  <w:style w:type="paragraph" w:styleId="901">
    <w:name w:val="footnote text"/>
    <w:basedOn w:val="736"/>
    <w:link w:val="902"/>
    <w:uiPriority w:val="99"/>
    <w:semiHidden/>
    <w:unhideWhenUsed/>
    <w:pPr>
      <w:spacing w:after="40"/>
    </w:pPr>
    <w:rPr>
      <w:sz w:val="18"/>
    </w:rPr>
  </w:style>
  <w:style w:type="character" w:styleId="902" w:customStyle="1">
    <w:name w:val="Текст сноски Знак"/>
    <w:link w:val="901"/>
    <w:uiPriority w:val="99"/>
    <w:rPr>
      <w:sz w:val="18"/>
    </w:rPr>
  </w:style>
  <w:style w:type="character" w:styleId="903">
    <w:name w:val="footnote reference"/>
    <w:uiPriority w:val="99"/>
    <w:unhideWhenUsed/>
    <w:rPr>
      <w:vertAlign w:val="superscript"/>
    </w:rPr>
  </w:style>
  <w:style w:type="paragraph" w:styleId="904">
    <w:name w:val="endnote text"/>
    <w:basedOn w:val="736"/>
    <w:link w:val="905"/>
    <w:uiPriority w:val="99"/>
    <w:semiHidden/>
    <w:unhideWhenUsed/>
  </w:style>
  <w:style w:type="character" w:styleId="905" w:customStyle="1">
    <w:name w:val="Текст концевой сноски Знак"/>
    <w:link w:val="904"/>
    <w:uiPriority w:val="99"/>
    <w:rPr>
      <w:sz w:val="20"/>
    </w:rPr>
  </w:style>
  <w:style w:type="character" w:styleId="906">
    <w:name w:val="endnote reference"/>
    <w:uiPriority w:val="99"/>
    <w:semiHidden/>
    <w:unhideWhenUsed/>
    <w:rPr>
      <w:vertAlign w:val="superscript"/>
    </w:rPr>
  </w:style>
  <w:style w:type="paragraph" w:styleId="907">
    <w:name w:val="toc 1"/>
    <w:basedOn w:val="736"/>
    <w:next w:val="736"/>
    <w:uiPriority w:val="39"/>
    <w:unhideWhenUsed/>
    <w:pPr>
      <w:spacing w:after="57"/>
    </w:pPr>
  </w:style>
  <w:style w:type="paragraph" w:styleId="908">
    <w:name w:val="toc 2"/>
    <w:basedOn w:val="736"/>
    <w:next w:val="736"/>
    <w:uiPriority w:val="39"/>
    <w:unhideWhenUsed/>
    <w:pPr>
      <w:ind w:left="283"/>
      <w:spacing w:after="57"/>
    </w:pPr>
  </w:style>
  <w:style w:type="paragraph" w:styleId="909">
    <w:name w:val="toc 3"/>
    <w:basedOn w:val="736"/>
    <w:next w:val="736"/>
    <w:uiPriority w:val="39"/>
    <w:unhideWhenUsed/>
    <w:pPr>
      <w:ind w:left="567"/>
      <w:spacing w:after="57"/>
    </w:pPr>
  </w:style>
  <w:style w:type="paragraph" w:styleId="910">
    <w:name w:val="toc 4"/>
    <w:basedOn w:val="736"/>
    <w:next w:val="736"/>
    <w:uiPriority w:val="39"/>
    <w:unhideWhenUsed/>
    <w:pPr>
      <w:ind w:left="850"/>
      <w:spacing w:after="57"/>
    </w:pPr>
  </w:style>
  <w:style w:type="paragraph" w:styleId="911">
    <w:name w:val="toc 5"/>
    <w:basedOn w:val="736"/>
    <w:next w:val="736"/>
    <w:uiPriority w:val="39"/>
    <w:unhideWhenUsed/>
    <w:pPr>
      <w:ind w:left="1134"/>
      <w:spacing w:after="57"/>
    </w:pPr>
  </w:style>
  <w:style w:type="paragraph" w:styleId="912">
    <w:name w:val="toc 6"/>
    <w:basedOn w:val="736"/>
    <w:next w:val="736"/>
    <w:uiPriority w:val="39"/>
    <w:unhideWhenUsed/>
    <w:pPr>
      <w:ind w:left="1417"/>
      <w:spacing w:after="57"/>
    </w:pPr>
  </w:style>
  <w:style w:type="paragraph" w:styleId="913">
    <w:name w:val="toc 7"/>
    <w:basedOn w:val="736"/>
    <w:next w:val="736"/>
    <w:uiPriority w:val="39"/>
    <w:unhideWhenUsed/>
    <w:pPr>
      <w:ind w:left="1701"/>
      <w:spacing w:after="57"/>
    </w:pPr>
  </w:style>
  <w:style w:type="paragraph" w:styleId="914">
    <w:name w:val="toc 8"/>
    <w:basedOn w:val="736"/>
    <w:next w:val="736"/>
    <w:uiPriority w:val="39"/>
    <w:unhideWhenUsed/>
    <w:pPr>
      <w:ind w:left="1984"/>
      <w:spacing w:after="57"/>
    </w:pPr>
  </w:style>
  <w:style w:type="paragraph" w:styleId="915">
    <w:name w:val="toc 9"/>
    <w:basedOn w:val="736"/>
    <w:next w:val="736"/>
    <w:uiPriority w:val="39"/>
    <w:unhideWhenUsed/>
    <w:pPr>
      <w:ind w:left="2268"/>
      <w:spacing w:after="57"/>
    </w:pPr>
  </w:style>
  <w:style w:type="paragraph" w:styleId="916">
    <w:name w:val="TOC Heading"/>
    <w:uiPriority w:val="39"/>
    <w:unhideWhenUsed/>
  </w:style>
  <w:style w:type="paragraph" w:styleId="917">
    <w:name w:val="table of figures"/>
    <w:basedOn w:val="736"/>
    <w:next w:val="736"/>
    <w:uiPriority w:val="99"/>
    <w:unhideWhenUsed/>
  </w:style>
  <w:style w:type="paragraph" w:styleId="918">
    <w:name w:val="Body Text"/>
    <w:basedOn w:val="736"/>
    <w:link w:val="942"/>
    <w:pPr>
      <w:ind w:right="3117"/>
    </w:pPr>
    <w:rPr>
      <w:rFonts w:ascii="Courier New" w:hAnsi="Courier New"/>
      <w:sz w:val="26"/>
      <w:lang w:val="en-US" w:eastAsia="en-US"/>
    </w:rPr>
  </w:style>
  <w:style w:type="paragraph" w:styleId="919">
    <w:name w:val="Body Text Indent"/>
    <w:basedOn w:val="736"/>
    <w:pPr>
      <w:ind w:right="-1"/>
      <w:jc w:val="both"/>
    </w:pPr>
    <w:rPr>
      <w:sz w:val="26"/>
    </w:rPr>
  </w:style>
  <w:style w:type="character" w:styleId="920">
    <w:name w:val="page number"/>
    <w:basedOn w:val="746"/>
  </w:style>
  <w:style w:type="paragraph" w:styleId="921">
    <w:name w:val="Balloon Text"/>
    <w:basedOn w:val="736"/>
    <w:link w:val="922"/>
    <w:uiPriority w:val="99"/>
    <w:rPr>
      <w:rFonts w:ascii="Segoe UI" w:hAnsi="Segoe UI"/>
      <w:sz w:val="18"/>
      <w:szCs w:val="18"/>
      <w:lang w:val="en-US" w:eastAsia="en-US"/>
    </w:rPr>
  </w:style>
  <w:style w:type="character" w:styleId="922" w:customStyle="1">
    <w:name w:val="Текст выноски Знак"/>
    <w:link w:val="921"/>
    <w:uiPriority w:val="99"/>
    <w:rPr>
      <w:rFonts w:ascii="Segoe UI" w:hAnsi="Segoe UI" w:cs="Segoe UI"/>
      <w:sz w:val="18"/>
      <w:szCs w:val="18"/>
    </w:rPr>
  </w:style>
  <w:style w:type="character" w:styleId="923" w:customStyle="1">
    <w:name w:val="Верхний колонтитул Знак"/>
    <w:link w:val="768"/>
    <w:uiPriority w:val="99"/>
  </w:style>
  <w:style w:type="numbering" w:styleId="924" w:customStyle="1">
    <w:name w:val="Нет списка1"/>
    <w:next w:val="748"/>
    <w:uiPriority w:val="99"/>
    <w:semiHidden/>
    <w:unhideWhenUsed/>
  </w:style>
  <w:style w:type="character" w:styleId="925">
    <w:name w:val="FollowedHyperlink"/>
    <w:uiPriority w:val="99"/>
    <w:unhideWhenUsed/>
    <w:rPr>
      <w:color w:val="800080"/>
      <w:u w:val="single"/>
    </w:rPr>
  </w:style>
  <w:style w:type="paragraph" w:styleId="926" w:customStyle="1">
    <w:name w:val="xl65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66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67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9" w:customStyle="1">
    <w:name w:val="xl68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0" w:customStyle="1">
    <w:name w:val="xl69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0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2" w:customStyle="1">
    <w:name w:val="xl71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2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73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4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5"/>
    <w:basedOn w:val="73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6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7"/>
    <w:basedOn w:val="736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8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9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Форма"/>
    <w:rPr>
      <w:sz w:val="28"/>
      <w:szCs w:val="28"/>
      <w:lang w:eastAsia="ru-RU"/>
    </w:rPr>
  </w:style>
  <w:style w:type="character" w:styleId="942" w:customStyle="1">
    <w:name w:val="Основной текст Знак"/>
    <w:link w:val="918"/>
    <w:rPr>
      <w:rFonts w:ascii="Courier New" w:hAnsi="Courier New"/>
      <w:sz w:val="26"/>
    </w:rPr>
  </w:style>
  <w:style w:type="paragraph" w:styleId="943" w:customStyle="1">
    <w:name w:val="ConsPlusNormal"/>
    <w:rPr>
      <w:sz w:val="28"/>
      <w:szCs w:val="28"/>
      <w:lang w:eastAsia="ru-RU"/>
    </w:rPr>
  </w:style>
  <w:style w:type="numbering" w:styleId="944" w:customStyle="1">
    <w:name w:val="Нет списка11"/>
    <w:next w:val="748"/>
    <w:uiPriority w:val="99"/>
    <w:semiHidden/>
    <w:unhideWhenUsed/>
  </w:style>
  <w:style w:type="numbering" w:styleId="945" w:customStyle="1">
    <w:name w:val="Нет списка111"/>
    <w:next w:val="748"/>
    <w:uiPriority w:val="99"/>
    <w:semiHidden/>
    <w:unhideWhenUsed/>
  </w:style>
  <w:style w:type="paragraph" w:styleId="946" w:customStyle="1">
    <w:name w:val="font5"/>
    <w:basedOn w:val="736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7" w:customStyle="1">
    <w:name w:val="xl80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8" w:customStyle="1">
    <w:name w:val="xl81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9" w:customStyle="1">
    <w:name w:val="xl82"/>
    <w:basedOn w:val="73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0" w:customStyle="1">
    <w:name w:val="xl83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84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8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86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87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5" w:customStyle="1">
    <w:name w:val="xl88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6" w:customStyle="1">
    <w:name w:val="xl89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0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1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92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0" w:customStyle="1">
    <w:name w:val="xl93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4"/>
    <w:basedOn w:val="736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9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3" w:customStyle="1">
    <w:name w:val="xl96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7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8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6" w:customStyle="1">
    <w:name w:val="xl99"/>
    <w:basedOn w:val="736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100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1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2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03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4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6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7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8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9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0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1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2"/>
    <w:basedOn w:val="736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0" w:customStyle="1">
    <w:name w:val="xl113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4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15"/>
    <w:basedOn w:val="73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3" w:customStyle="1">
    <w:name w:val="xl116"/>
    <w:basedOn w:val="73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7"/>
    <w:basedOn w:val="736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8"/>
    <w:basedOn w:val="73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9"/>
    <w:basedOn w:val="73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20"/>
    <w:basedOn w:val="73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8" w:customStyle="1">
    <w:name w:val="xl121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9" w:customStyle="1">
    <w:name w:val="xl122"/>
    <w:basedOn w:val="73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23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4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2" w:customStyle="1">
    <w:name w:val="xl125"/>
    <w:basedOn w:val="73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3" w:customStyle="1">
    <w:name w:val="Нет списка2"/>
    <w:next w:val="748"/>
    <w:uiPriority w:val="99"/>
    <w:semiHidden/>
    <w:unhideWhenUsed/>
  </w:style>
  <w:style w:type="numbering" w:styleId="994" w:customStyle="1">
    <w:name w:val="Нет списка3"/>
    <w:next w:val="748"/>
    <w:uiPriority w:val="99"/>
    <w:semiHidden/>
    <w:unhideWhenUsed/>
  </w:style>
  <w:style w:type="paragraph" w:styleId="995" w:customStyle="1">
    <w:name w:val="font6"/>
    <w:basedOn w:val="73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6" w:customStyle="1">
    <w:name w:val="font7"/>
    <w:basedOn w:val="73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7" w:customStyle="1">
    <w:name w:val="font8"/>
    <w:basedOn w:val="73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8" w:customStyle="1">
    <w:name w:val="Нет списка4"/>
    <w:next w:val="748"/>
    <w:uiPriority w:val="99"/>
    <w:semiHidden/>
    <w:unhideWhenUsed/>
  </w:style>
  <w:style w:type="character" w:styleId="999" w:customStyle="1">
    <w:name w:val="Нижний колонтитул Знак"/>
    <w:link w:val="770"/>
    <w:uiPriority w:val="99"/>
  </w:style>
  <w:style w:type="paragraph" w:styleId="1000" w:customStyle="1">
    <w:name w:val="ConsPlusNonformat"/>
    <w:uiPriority w:val="99"/>
    <w:pPr>
      <w:widowControl w:val="off"/>
    </w:pPr>
    <w:rPr>
      <w:rFonts w:ascii="Courier New" w:hAnsi="Courier New" w:cs="Courier New"/>
      <w:lang w:eastAsia="ru-RU"/>
    </w:rPr>
  </w:style>
  <w:style w:type="paragraph" w:styleId="1001" w:customStyle="1">
    <w:name w:val="Default"/>
    <w:rPr>
      <w:color w:val="000000"/>
      <w:sz w:val="24"/>
      <w:szCs w:val="24"/>
      <w:lang w:eastAsia="ru-RU"/>
    </w:rPr>
  </w:style>
  <w:style w:type="paragraph" w:styleId="1002">
    <w:name w:val="Normal (Web)"/>
    <w:basedOn w:val="736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77A6-6670-4745-B45D-B213C5EC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10</cp:revision>
  <dcterms:created xsi:type="dcterms:W3CDTF">2026-08-26T04:37:00Z</dcterms:created>
  <dcterms:modified xsi:type="dcterms:W3CDTF">2026-08-28T05:09:07Z</dcterms:modified>
  <cp:version>917504</cp:version>
</cp:coreProperties>
</file>