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-52070</wp:posOffset>
                </wp:positionV>
                <wp:extent cx="6285960" cy="1451705"/>
                <wp:effectExtent l="0" t="0" r="0" b="0"/>
                <wp:wrapNone/>
                <wp:docPr id="2" name="_x005F_x0000_s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451704"/>
                          <a:chOff x="0" y="0"/>
                          <a:chExt cx="6285960" cy="1451704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 flipH="0" flipV="0">
                            <a:off x="0" y="0"/>
                            <a:ext cx="6285960" cy="14517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60"/>
                                <w:spacing w:before="12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01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01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803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 flipH="0" flipV="0">
                            <a:off x="258480" y="1116180"/>
                            <a:ext cx="1531080" cy="316473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01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28.08.2026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01"/>
                              </w:pPr>
                              <w:r/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 flipH="0" flipV="0">
                            <a:off x="4945320" y="1118700"/>
                            <a:ext cx="1080720" cy="3234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01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509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3;o:allowoverlap:true;o:allowincell:true;mso-position-horizontal-relative:text;margin-left:0.60pt;mso-position-horizontal:absolute;mso-position-vertical-relative:text;margin-top:-4.10pt;mso-position-vertical:absolute;width:494.96pt;height:114.31pt;mso-wrap-distance-left:0.00pt;mso-wrap-distance-top:0.00pt;mso-wrap-distance-right:0.00pt;mso-wrap-distance-bottom:0.00pt;" coordorigin="0,0" coordsize="62859,14517">
                <v:shape id="shape 2" o:spid="_x0000_s2" o:spt="1" type="#_x0000_t1" style="position:absolute;left:0;top:0;width:62859;height:14517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860"/>
                          <w:spacing w:before="12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01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01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803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1" type="#_x0000_t1" style="position:absolute;left:2584;top:11161;width:15310;height:3164;v-text-anchor:top;visibility:visible;" filled="f" stroked="f" strokeweight="0.00pt">
                  <v:textbox inset="0,0,0,0">
                    <w:txbxContent>
                      <w:p>
                        <w:pPr>
                          <w:pStyle w:val="801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28.08.2026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01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1" type="#_x0000_t1" style="position:absolute;left:49453;top:11187;width:10807;height:3234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80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509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3" name="_x005F_x0000_s2050 Копия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_x005F_x0000_s2050 Копия 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7;o:allowoverlap:true;o:allowincell:true;mso-position-horizontal-relative:text;margin-left:232.3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01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801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2"/>
        <w:spacing w:line="238" w:lineRule="exac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2"/>
        <w:spacing w:line="238" w:lineRule="exact"/>
        <w:rPr>
          <w:b/>
          <w:bCs/>
        </w:rPr>
      </w:pPr>
      <w:r>
        <w:rPr>
          <w:b/>
          <w:bCs/>
        </w:rPr>
      </w:r>
      <w:bookmarkStart w:id="1" w:name="_Hlk345729"/>
      <w:r/>
      <w:bookmarkEnd w:id="1"/>
      <w:r>
        <w:rPr>
          <w:b/>
          <w:bCs/>
        </w:rPr>
      </w:r>
      <w:r>
        <w:rPr>
          <w:b/>
          <w:bCs/>
        </w:rPr>
      </w:r>
    </w:p>
    <w:p>
      <w:pPr>
        <w:pStyle w:val="902"/>
        <w:jc w:val="center"/>
        <w:spacing w:line="238" w:lineRule="exact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902"/>
        <w:jc w:val="center"/>
        <w:spacing w:line="238" w:lineRule="exact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902"/>
        <w:jc w:val="center"/>
        <w:spacing w:line="238" w:lineRule="exact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902"/>
        <w:ind w:left="0" w:right="0" w:firstLine="0"/>
        <w:jc w:val="center"/>
        <w:spacing w:before="0" w:after="0" w:line="238" w:lineRule="exact"/>
        <w:widowControl/>
      </w:pPr>
      <w:r>
        <w:rPr>
          <w:b/>
        </w:rPr>
        <w:t xml:space="preserve">Об утверждении размера нормативных затрат на выполнение </w:t>
      </w:r>
      <w:r/>
    </w:p>
    <w:p>
      <w:pPr>
        <w:pStyle w:val="902"/>
        <w:ind w:left="0" w:right="0" w:firstLine="0"/>
        <w:jc w:val="center"/>
        <w:spacing w:before="0" w:after="0" w:line="238" w:lineRule="exact"/>
        <w:widowControl/>
      </w:pPr>
      <w:r>
        <w:rPr>
          <w:b/>
        </w:rPr>
        <w:t xml:space="preserve">муниципальной работы «Организация мероприятий в сфере молодежной </w:t>
      </w:r>
      <w:r/>
    </w:p>
    <w:p>
      <w:pPr>
        <w:pStyle w:val="902"/>
        <w:ind w:left="0" w:right="0" w:firstLine="0"/>
        <w:jc w:val="center"/>
        <w:spacing w:before="0" w:after="0" w:line="238" w:lineRule="exact"/>
        <w:widowControl/>
      </w:pPr>
      <w:r>
        <w:rPr>
          <w:b/>
        </w:rPr>
        <w:t xml:space="preserve">политики, направленных на формирование системы развития талантливой </w:t>
      </w:r>
      <w:r/>
    </w:p>
    <w:p>
      <w:pPr>
        <w:pStyle w:val="902"/>
        <w:ind w:left="0" w:right="0" w:firstLine="0"/>
        <w:jc w:val="center"/>
        <w:spacing w:before="0" w:after="0" w:line="238" w:lineRule="exact"/>
        <w:widowControl/>
      </w:pPr>
      <w:r>
        <w:rPr>
          <w:b/>
        </w:rPr>
        <w:t xml:space="preserve">и инициативной молодежи, создание условий для самореализации </w:t>
      </w:r>
      <w:r/>
    </w:p>
    <w:p>
      <w:pPr>
        <w:pStyle w:val="902"/>
        <w:ind w:left="0" w:right="0" w:firstLine="0"/>
        <w:jc w:val="center"/>
        <w:spacing w:before="0" w:after="0" w:line="238" w:lineRule="exact"/>
        <w:widowControl/>
      </w:pPr>
      <w:r>
        <w:rPr>
          <w:b/>
        </w:rPr>
        <w:t xml:space="preserve">подростков и молодежи, развитие творческого, профессионального, </w:t>
      </w:r>
      <w:r/>
    </w:p>
    <w:p>
      <w:pPr>
        <w:pStyle w:val="902"/>
        <w:ind w:left="0" w:right="0" w:firstLine="0"/>
        <w:jc w:val="center"/>
        <w:spacing w:before="0" w:after="0" w:line="238" w:lineRule="exact"/>
        <w:widowControl/>
      </w:pPr>
      <w:r>
        <w:rPr>
          <w:b/>
        </w:rPr>
        <w:t xml:space="preserve">интеллектуального потенциала подростков и молодежи» и нормативных </w:t>
      </w:r>
      <w:r/>
    </w:p>
    <w:p>
      <w:pPr>
        <w:pStyle w:val="902"/>
        <w:ind w:left="0" w:right="0" w:firstLine="0"/>
        <w:jc w:val="center"/>
        <w:spacing w:before="0" w:after="0" w:line="238" w:lineRule="exact"/>
        <w:widowControl/>
      </w:pPr>
      <w:r>
        <w:rPr>
          <w:b/>
        </w:rPr>
        <w:t xml:space="preserve">затрат на содержание муниципального имущества на 2027 год и плановый </w:t>
      </w:r>
      <w:r/>
    </w:p>
    <w:p>
      <w:pPr>
        <w:pStyle w:val="902"/>
        <w:ind w:left="0" w:right="0" w:firstLine="0"/>
        <w:jc w:val="center"/>
        <w:spacing w:before="0" w:after="0" w:line="238" w:lineRule="exact"/>
        <w:widowControl/>
      </w:pPr>
      <w:r>
        <w:rPr>
          <w:b/>
        </w:rPr>
        <w:t xml:space="preserve">период 2028-2029 годов, значений натуральных норм, необходимых для </w:t>
      </w:r>
      <w:r/>
    </w:p>
    <w:p>
      <w:pPr>
        <w:pStyle w:val="902"/>
        <w:ind w:left="0" w:right="0" w:firstLine="0"/>
        <w:jc w:val="center"/>
        <w:spacing w:before="0" w:after="0" w:line="238" w:lineRule="exact"/>
        <w:widowControl/>
      </w:pPr>
      <w:r>
        <w:rPr>
          <w:b/>
        </w:rPr>
        <w:t xml:space="preserve">определения базовых нормативов затрат на выполнение муниципальной </w:t>
      </w:r>
      <w:r/>
    </w:p>
    <w:p>
      <w:pPr>
        <w:pStyle w:val="902"/>
        <w:ind w:left="0" w:right="0" w:firstLine="0"/>
        <w:jc w:val="center"/>
        <w:spacing w:before="0" w:after="0" w:line="238" w:lineRule="exact"/>
        <w:widowControl/>
      </w:pPr>
      <w:r>
        <w:rPr>
          <w:b/>
        </w:rPr>
        <w:t xml:space="preserve">работы «Организация мероприятий в сфере молодежной политики, </w:t>
      </w:r>
      <w:r/>
    </w:p>
    <w:p>
      <w:pPr>
        <w:pStyle w:val="902"/>
        <w:ind w:left="0" w:right="0" w:firstLine="0"/>
        <w:jc w:val="center"/>
        <w:spacing w:before="0" w:after="0" w:line="238" w:lineRule="exact"/>
        <w:widowControl/>
        <w:rPr>
          <w:b/>
          <w:bCs/>
        </w:rPr>
      </w:pPr>
      <w:r>
        <w:rPr>
          <w:b/>
        </w:rPr>
        <w:t xml:space="preserve">направленных на формирование системы развития талантливой </w:t>
      </w:r>
      <w:r>
        <w:rPr>
          <w:b/>
          <w:bCs/>
        </w:rPr>
      </w:r>
    </w:p>
    <w:p>
      <w:pPr>
        <w:pStyle w:val="902"/>
        <w:ind w:left="0" w:right="0" w:firstLine="0"/>
        <w:jc w:val="center"/>
        <w:spacing w:before="0" w:after="0" w:line="238" w:lineRule="exact"/>
        <w:widowControl/>
        <w:rPr>
          <w:b/>
          <w:bCs/>
        </w:rPr>
      </w:pPr>
      <w:r>
        <w:rPr>
          <w:b/>
        </w:rPr>
        <w:t xml:space="preserve">и </w:t>
      </w:r>
      <w:r>
        <w:rPr>
          <w:b/>
        </w:rPr>
        <w:t xml:space="preserve">инициативной молодежи, создание условий для самореализации </w:t>
      </w:r>
      <w:r>
        <w:rPr>
          <w:b/>
          <w:bCs/>
        </w:rPr>
      </w:r>
    </w:p>
    <w:p>
      <w:pPr>
        <w:pStyle w:val="902"/>
        <w:ind w:left="0" w:right="0" w:firstLine="0"/>
        <w:jc w:val="center"/>
        <w:spacing w:before="0" w:after="0" w:line="238" w:lineRule="exact"/>
        <w:widowControl/>
        <w:rPr>
          <w:b/>
          <w:bCs/>
        </w:rPr>
      </w:pPr>
      <w:r>
        <w:rPr>
          <w:b/>
        </w:rPr>
        <w:t xml:space="preserve">подростков </w:t>
      </w:r>
      <w:r>
        <w:rPr>
          <w:b/>
        </w:rPr>
        <w:t xml:space="preserve">и молодежи, развитие творческого, профессионального, </w:t>
      </w:r>
      <w:r>
        <w:rPr>
          <w:b/>
          <w:bCs/>
        </w:rPr>
      </w:r>
    </w:p>
    <w:p>
      <w:pPr>
        <w:pStyle w:val="902"/>
        <w:ind w:left="0" w:right="0" w:firstLine="0"/>
        <w:jc w:val="center"/>
        <w:spacing w:before="0" w:after="0" w:line="238" w:lineRule="exact"/>
        <w:widowControl/>
      </w:pPr>
      <w:r>
        <w:rPr>
          <w:b/>
        </w:rPr>
        <w:t xml:space="preserve">интеллектуального </w:t>
      </w:r>
      <w:r>
        <w:rPr>
          <w:b/>
        </w:rPr>
        <w:t xml:space="preserve">потенциала подростков и молодежи» </w:t>
      </w:r>
      <w:r/>
    </w:p>
    <w:p>
      <w:pPr>
        <w:pStyle w:val="902"/>
        <w:ind w:right="4818"/>
        <w:jc w:val="left"/>
        <w:spacing w:line="238" w:lineRule="exact"/>
        <w:rPr>
          <w:b w:val="0"/>
          <w:bCs w:val="0"/>
        </w:rPr>
      </w:pPr>
      <w:r>
        <w:rPr>
          <w:b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01"/>
        <w:ind w:right="4818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right="4818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c федеральными законами от 06 октября 2003 г.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  <w:highlight w:val="white"/>
        </w:rPr>
        <w:t xml:space="preserve">от 20 марта 2025 г. № 33-ФЗ «</w:t>
      </w:r>
      <w:r>
        <w:rPr>
          <w:color w:val="000000"/>
          <w:sz w:val="28"/>
          <w:szCs w:val="28"/>
        </w:rPr>
        <w:t xml:space="preserve"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  <w:highlight w:val="white"/>
        </w:rPr>
        <w:t xml:space="preserve">»,</w:t>
      </w:r>
      <w:r>
        <w:rPr>
          <w:sz w:val="28"/>
          <w:szCs w:val="28"/>
        </w:rPr>
        <w:t xml:space="preserve"> Уставом города Перми, постановлениями администрации города Перми от 30 ноября 2007 г. № 502 «О Порядке формирования, размещения, финансового обеспечения и контроля выполнения муниципального задания на оказание муниципальных услуг (выполнение работ)», от </w:t>
      </w:r>
      <w:r>
        <w:rPr>
          <w:sz w:val="28"/>
          <w:szCs w:val="28"/>
          <w:lang w:eastAsia="en-US"/>
        </w:rPr>
        <w:t xml:space="preserve">15 сентября 2016 г. № 695 «Об утверждении методик расчета нормативных затрат на выполнение муниципальных работ в сфере молодежной политики </w:t>
        <w:br/>
      </w:r>
      <w:r>
        <w:rPr>
          <w:sz w:val="28"/>
          <w:szCs w:val="28"/>
          <w:lang w:eastAsia="en-US"/>
        </w:rPr>
        <w:t xml:space="preserve">и</w:t>
      </w:r>
      <w:r>
        <w:rPr>
          <w:sz w:val="28"/>
          <w:szCs w:val="28"/>
          <w:lang w:eastAsia="en-US"/>
        </w:rPr>
        <w:t xml:space="preserve"> нормативных затрат на содержание муниципального имущества»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размер нормативных затрат на выполнение муниципальной работы «Организация мероприятий в сфере молодежной политики, направленных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на формирование системы развития талантливой и инициативной молодежи, созд</w:t>
      </w:r>
      <w:r>
        <w:rPr>
          <w:sz w:val="28"/>
          <w:szCs w:val="28"/>
        </w:rPr>
        <w:t xml:space="preserve">ание условий для самореализации подростков и молодежи, развитие творческого, профессионального, интеллектуального потенциала подростков и молодежи» </w:t>
        <w:br/>
        <w:t xml:space="preserve">и нормативных затрат на содержание муниципального имущества на 2027 год </w:t>
        <w:br/>
        <w:t xml:space="preserve">и плановый период 2028-2029 годов;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значения натуральных норм, необходимых для определения базовых нормативов затрат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выполнение муниципальной работы «Организация мероприятий в сфере м</w:t>
      </w:r>
      <w:r>
        <w:rPr>
          <w:sz w:val="28"/>
          <w:szCs w:val="28"/>
        </w:rPr>
        <w:t xml:space="preserve">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потенциала подростков и молодежи».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администрации города Перми от 08 октября 2025 г. № 744 «</w:t>
      </w:r>
      <w:r>
        <w:rPr>
          <w:sz w:val="28"/>
          <w:szCs w:val="28"/>
        </w:rPr>
        <w:t xml:space="preserve">Об</w:t>
      </w:r>
      <w:r>
        <w:rPr>
          <w:sz w:val="28"/>
          <w:szCs w:val="28"/>
        </w:rPr>
        <w:t xml:space="preserve"> утверждении размера нормативных затрат на выполнение муниципальной работы «Организация мероприятий в сфере молодежной политики, направленных на формирование системы развития талантливой </w:t>
        <w:br/>
        <w:t xml:space="preserve">и инициативной молодежи, создание условий для самореализации подрост</w:t>
      </w:r>
      <w:r>
        <w:rPr>
          <w:sz w:val="28"/>
          <w:szCs w:val="28"/>
        </w:rPr>
        <w:t xml:space="preserve">ко</w:t>
      </w:r>
      <w:r>
        <w:rPr>
          <w:sz w:val="28"/>
          <w:szCs w:val="28"/>
        </w:rPr>
        <w:t xml:space="preserve">в </w:t>
        <w:br/>
        <w:t xml:space="preserve">и молодежи, развитие творческого, профессионального, интеллектуального потенциала подростков и молодежи» и нормативных затрат на содержание муниципального имущества на 2026 год и плановый период 2027-2028 годов, значений натуральных норм, необходимых дл</w:t>
      </w:r>
      <w:r>
        <w:rPr>
          <w:sz w:val="28"/>
          <w:szCs w:val="28"/>
        </w:rPr>
        <w:t xml:space="preserve">я </w:t>
      </w:r>
      <w:r>
        <w:rPr>
          <w:sz w:val="28"/>
          <w:szCs w:val="28"/>
        </w:rPr>
        <w:t xml:space="preserve">определения базовых нормативов затрат </w:t>
        <w:br/>
        <w:t xml:space="preserve">на выполнение муниципальной работы «Организация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</w:t>
      </w:r>
      <w:r>
        <w:rPr>
          <w:sz w:val="28"/>
          <w:szCs w:val="28"/>
        </w:rPr>
        <w:t xml:space="preserve">в </w:t>
        <w:br/>
        <w:t xml:space="preserve">и молодежи, развитие творческого, профессионального, интеллектуального потенциала подростков и молодежи»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с 01 января 2027 г., но не ранее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Управлению по общим вопросам администрации города Перми обеспечить обнародование настоящего постановления</w:t>
      </w:r>
      <w:r>
        <w:rPr>
          <w:sz w:val="28"/>
          <w:szCs w:val="24"/>
        </w:rPr>
        <w:t xml:space="preserve"> посредством официального опубликования</w:t>
      </w:r>
      <w:r>
        <w:rPr>
          <w:sz w:val="28"/>
          <w:szCs w:val="28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</w:t>
      </w:r>
      <w:r>
        <w:rPr>
          <w:sz w:val="28"/>
          <w:szCs w:val="24"/>
        </w:rPr>
        <w:t xml:space="preserve">посредством официального опубликования</w:t>
      </w:r>
      <w:r>
        <w:rPr>
          <w:sz w:val="28"/>
          <w:szCs w:val="28"/>
        </w:rPr>
        <w:t xml:space="preserve">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firstLine="720"/>
        <w:jc w:val="both"/>
        <w:rPr>
          <w:sz w:val="28"/>
          <w:szCs w:val="28"/>
          <w:highlight w:val="lightGray"/>
        </w:rPr>
      </w:pPr>
      <w:r>
        <w:rPr>
          <w:sz w:val="28"/>
          <w:szCs w:val="28"/>
        </w:rPr>
        <w:t xml:space="preserve">6. 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на заместителя главы администрации города Перми </w:t>
      </w:r>
      <w:r>
        <w:rPr>
          <w:sz w:val="28"/>
          <w:szCs w:val="28"/>
          <w:shd w:val="clear" w:color="auto" w:fill="auto"/>
        </w:rPr>
        <w:t xml:space="preserve">Мальцеву Е.Д.</w:t>
      </w: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</w:p>
    <w:p>
      <w:pPr>
        <w:pStyle w:val="801"/>
        <w:jc w:val="both"/>
        <w:rPr>
          <w:sz w:val="28"/>
          <w:szCs w:val="28"/>
          <w:highlight w:val="lightGray"/>
        </w:rPr>
      </w:pP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</w:p>
    <w:p>
      <w:pPr>
        <w:pStyle w:val="801"/>
        <w:jc w:val="both"/>
        <w:rPr>
          <w:sz w:val="28"/>
          <w:szCs w:val="28"/>
          <w:highlight w:val="lightGray"/>
        </w:rPr>
      </w:pP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</w:p>
    <w:p>
      <w:pPr>
        <w:pStyle w:val="801"/>
        <w:jc w:val="both"/>
        <w:rPr>
          <w:sz w:val="28"/>
          <w:szCs w:val="28"/>
          <w:highlight w:val="lightGray"/>
        </w:rPr>
      </w:pP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  <w:r>
        <w:rPr>
          <w:sz w:val="28"/>
          <w:szCs w:val="28"/>
          <w:highlight w:val="lightGray"/>
        </w:rPr>
      </w:r>
    </w:p>
    <w:p>
      <w:pPr>
        <w:pStyle w:val="801"/>
        <w:spacing w:line="24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города Перми </w:t>
        <w:tab/>
        <w:tab/>
        <w:tab/>
        <w:tab/>
        <w:tab/>
        <w:t xml:space="preserve">                    </w:t>
        <w:tab/>
        <w:t xml:space="preserve">                 Э.О. Соснин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01"/>
        <w:ind w:left="4956" w:firstLine="708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left="4956" w:firstLine="708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left="4956" w:firstLine="708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left="4956" w:firstLine="708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left="4956" w:firstLine="708"/>
        <w:spacing w:line="240" w:lineRule="exact"/>
        <w:rPr>
          <w:sz w:val="28"/>
          <w:szCs w:val="28"/>
        </w:rPr>
        <w:sectPr>
          <w:headerReference w:type="default" r:id="rId8"/>
          <w:headerReference w:type="even" r:id="rId9"/>
          <w:headerReference w:type="first" r:id="rId10"/>
          <w:footerReference w:type="default" r:id="rId13"/>
          <w:footerReference w:type="even" r:id="rId14"/>
          <w:footerReference w:type="first" r:id="rId15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1701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956" w:firstLine="708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УТВЕРЖДЕН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left="5664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left="4956" w:firstLine="708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left="4956" w:firstLine="708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28.08.2026 № 509</w:t>
      </w:r>
      <w:r>
        <w:rPr>
          <w:sz w:val="28"/>
          <w:szCs w:val="28"/>
        </w:rPr>
      </w:r>
    </w:p>
    <w:p>
      <w:pPr>
        <w:pStyle w:val="801"/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jc w:val="center"/>
        <w:spacing w:line="238" w:lineRule="exact"/>
      </w:pPr>
      <w:r>
        <w:rPr>
          <w:b/>
          <w:bCs/>
          <w:sz w:val="28"/>
          <w:szCs w:val="28"/>
        </w:rPr>
        <w:t xml:space="preserve">РАЗМЕР</w:t>
      </w:r>
      <w:r/>
    </w:p>
    <w:p>
      <w:pPr>
        <w:pStyle w:val="801"/>
        <w:jc w:val="center"/>
        <w:spacing w:line="238" w:lineRule="exact"/>
      </w:pPr>
      <w:r>
        <w:rPr>
          <w:b/>
          <w:sz w:val="28"/>
          <w:szCs w:val="28"/>
        </w:rPr>
        <w:t xml:space="preserve">нормативных затрат на выполнение муниципальной работы </w:t>
      </w:r>
      <w:r/>
    </w:p>
    <w:p>
      <w:pPr>
        <w:pStyle w:val="801"/>
        <w:jc w:val="center"/>
        <w:spacing w:line="238" w:lineRule="exact"/>
      </w:pPr>
      <w:r>
        <w:rPr>
          <w:b/>
          <w:sz w:val="28"/>
          <w:szCs w:val="28"/>
        </w:rPr>
        <w:t xml:space="preserve">«Организация мероприятий в сфере молодежной политики, направленных </w:t>
      </w:r>
      <w:r/>
    </w:p>
    <w:p>
      <w:pPr>
        <w:pStyle w:val="801"/>
        <w:jc w:val="center"/>
        <w:spacing w:line="238" w:lineRule="exact"/>
      </w:pPr>
      <w:r>
        <w:rPr>
          <w:b/>
          <w:sz w:val="28"/>
          <w:szCs w:val="28"/>
        </w:rPr>
        <w:t xml:space="preserve">на формирование системы развития талантливой и инициативной молодежи, </w:t>
      </w:r>
      <w:r/>
    </w:p>
    <w:p>
      <w:pPr>
        <w:pStyle w:val="801"/>
        <w:jc w:val="center"/>
        <w:spacing w:line="238" w:lineRule="exact"/>
      </w:pPr>
      <w:r>
        <w:rPr>
          <w:b/>
          <w:sz w:val="28"/>
          <w:szCs w:val="28"/>
        </w:rPr>
        <w:t xml:space="preserve">создание условий для самореализации подростков и молодежи, развитие </w:t>
      </w:r>
      <w:r/>
    </w:p>
    <w:p>
      <w:pPr>
        <w:pStyle w:val="801"/>
        <w:jc w:val="center"/>
        <w:spacing w:line="238" w:lineRule="exact"/>
      </w:pPr>
      <w:r>
        <w:rPr>
          <w:b/>
          <w:sz w:val="28"/>
          <w:szCs w:val="28"/>
        </w:rPr>
        <w:t xml:space="preserve">творческого, профессионального, интеллектуального потенциала подростков и молодежи» и нормативных затрат на содержание муниципального </w:t>
      </w:r>
      <w:r/>
    </w:p>
    <w:p>
      <w:pPr>
        <w:pStyle w:val="801"/>
        <w:jc w:val="center"/>
        <w:spacing w:line="238" w:lineRule="exact"/>
      </w:pPr>
      <w:r>
        <w:rPr>
          <w:b/>
          <w:sz w:val="28"/>
          <w:szCs w:val="28"/>
        </w:rPr>
        <w:t xml:space="preserve">имущества на 2027 год и плановый период 2028-2029 годов</w:t>
      </w:r>
      <w:r/>
    </w:p>
    <w:p>
      <w:pPr>
        <w:pStyle w:val="801"/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137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329"/>
        <w:gridCol w:w="180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Направления затрат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Размер, 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01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10137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329"/>
        <w:gridCol w:w="1807"/>
      </w:tblGrid>
      <w:tr>
        <w:tblPrEx/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6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Базовый норматив затрат на выполнение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361 520,00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норматив затрат, непосредственно связанных с выполнением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154 408,00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труда работников, непосредственно связанных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выполнением муниципальной работы, и начисления на выплаты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оплате труда работников, непосредственно связанных с выполнением муниципальной работы, включая страховые взносы в </w:t>
            </w:r>
            <w:r>
              <w:rPr>
                <w:sz w:val="28"/>
                <w:szCs w:val="24"/>
              </w:rPr>
              <w:t xml:space="preserve">Фонд пенсионного и социального страхования Российской Федерации, Федеральный фонд обязательного медицинского страхования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139 392,00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tabs>
                <w:tab w:val="clear" w:pos="720" w:leader="none"/>
                <w:tab w:val="left" w:pos="119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затраты, непосредственно связанные с выполнением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15 016,00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коммунальных услуг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15 016,00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норматив затрат на общехозяйственные нужды на выполнение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207 112,00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коммунальные услуги, за исключением затрат, непосредственно связанных с выполнением муниципальной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36 095,00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содержание объектов недвижимого имущества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7 008,00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содержание объектов особо ценного движимого имущества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6 973,00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приобретение услуг связи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5 401,00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труда работников, которые не принимают непосредственного участия в выполнении муниципальной работы,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начисления на выплаты по оплате труда работников, которые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не принимают непосредственного участия в выполнении муниципальной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66 792,00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прочие общехозяйственные нужды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84 843,00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Нормативные затраты на содержание муниципального имущества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208 788,58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6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 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Базовый норматив затрат на выполнение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361 520,00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норматив затрат, непосредственно связанных с выполнением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154 408,00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труда работников, непосредственно связанных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выполнением муниципальной работы, и начисления на выплаты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оплате труда работников, непосредственно связанных с выполнением муниципальной работы, включая страховые взносы в </w:t>
            </w:r>
            <w:r>
              <w:rPr>
                <w:sz w:val="28"/>
                <w:szCs w:val="24"/>
              </w:rPr>
              <w:t xml:space="preserve">Фонд пенсионного и социального страхования Российской Федерации, Федеральный фонд обязательного медицинского страхования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139 392,00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затраты, непосредственно связанные с выполнением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15 016,00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коммунальных услуг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15 016,00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норматив затрат на общехозяйственные нужды на выполнение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207 112,00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коммунальные услуги, за исключением затрат, непосредственно связанных с выполнением муниципальной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36 095,00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содержание объектов недвижимого имущества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7 008,00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содержание объектов особо ценного движимого имущества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6 973,00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приобретение услуг связи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5 401,00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труда работников, которые не принимают непосредственного участия в выполнении муниципальной работы,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и начисления на выплаты по оплате труда работников, которые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не принимают непосредственного участия в выполнении муниципальной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66 792,00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прочие общехозяйственные нужды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84 843,00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Нормативные затраты на содержание муниципального имущества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208 788,58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5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36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2029 год</w:t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Базовый норматив затрат на выполнение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361 520,00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норматив затрат, непосредственно связанных с выполнением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154 408,00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труда работников, непосредственно связанных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выполнением муниципальной работы, и начисления на выплаты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оплате труда работников, непосредственно связанных с выполнением муниципальной работы, включая страховые взносы в </w:t>
            </w:r>
            <w:r>
              <w:rPr>
                <w:sz w:val="28"/>
                <w:szCs w:val="24"/>
              </w:rPr>
              <w:t xml:space="preserve">Фонд пенсионного и социального страхования Российской Федерации, Федеральный фонд обязательного медицинского страхования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139 392,00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затраты, непосредственно связанные с выполнением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15 016,00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коммунальных услуг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15 016,00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норматив затрат на общехозяйственные нужды на выполнение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207 112,00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коммунальные услуги, за исключением затрат, непосредственно связанных с выполнением муниципальной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36 095,00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содержание объектов недвижимого имущества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7 008,00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содержание объектов особо ценного движимого имущества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6 973,00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приобретение услуг связи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5 401,00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труда работников, которые не принимают непосредственного участия в выполнении муниципальной работы,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и начисления на выплаты по оплате труда работников, которые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не принимают непосредственного участия в выполнении муниципальной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66 792,00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прочие общехозяйственные нужды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84 843,00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29" w:type="dxa"/>
            <w:textDirection w:val="lrTb"/>
            <w:noWrap w:val="false"/>
          </w:tcPr>
          <w:p>
            <w:pPr>
              <w:pStyle w:val="801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Нормативные затраты на содержание муниципального имущества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208 788,58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sectPr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1701" w:equalWidth="1"/>
          <w:docGrid w:linePitch="360"/>
          <w:titlePg/>
        </w:sectPr>
      </w:pPr>
      <w:r/>
      <w:r/>
    </w:p>
    <w:p>
      <w:pPr>
        <w:pStyle w:val="801"/>
        <w:ind w:left="10206" w:hanging="567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УТВЕРЖДЕНЫ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left="10206" w:hanging="567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left="10206" w:hanging="567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left="10206" w:hanging="567"/>
        <w:spacing w:line="238" w:lineRule="exact"/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28.08.2026 № 509</w:t>
      </w:r>
      <w:r/>
      <w:r>
        <w:rPr>
          <w:sz w:val="28"/>
          <w:szCs w:val="28"/>
        </w:rPr>
      </w:r>
      <w:r/>
    </w:p>
    <w:p>
      <w:pPr>
        <w:pStyle w:val="801"/>
        <w:jc w:val="center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jc w:val="center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jc w:val="center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jc w:val="center"/>
        <w:spacing w:line="238" w:lineRule="exact"/>
      </w:pPr>
      <w:r>
        <w:rPr>
          <w:b/>
          <w:sz w:val="28"/>
          <w:szCs w:val="28"/>
        </w:rPr>
        <w:t xml:space="preserve">ЗНАЧЕНИЯ</w:t>
      </w:r>
      <w:r/>
    </w:p>
    <w:p>
      <w:pPr>
        <w:pStyle w:val="801"/>
        <w:jc w:val="center"/>
        <w:spacing w:line="238" w:lineRule="exact"/>
      </w:pPr>
      <w:r>
        <w:rPr>
          <w:b/>
          <w:sz w:val="28"/>
          <w:szCs w:val="28"/>
        </w:rPr>
        <w:t xml:space="preserve">натуральных норм, необходимых для определения базовых нормативов затрат на выполнение муниципальной </w:t>
      </w:r>
      <w:r/>
    </w:p>
    <w:p>
      <w:pPr>
        <w:pStyle w:val="801"/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работы «Организация мероприятий в сфере</w:t>
      </w:r>
      <w:r>
        <w:rPr>
          <w:b/>
          <w:sz w:val="28"/>
          <w:szCs w:val="28"/>
        </w:rPr>
        <w:t xml:space="preserve"> молодежной политики, направленных на формирование системы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развития талантливой и инициативной молодежи, создание условий для самореализации подростков и молодежи,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</w:pPr>
      <w:r>
        <w:rPr>
          <w:b/>
          <w:sz w:val="28"/>
          <w:szCs w:val="28"/>
        </w:rPr>
        <w:t xml:space="preserve">развитие творческого, профессионального, интеллектуального потенциала подростков и молодежи»</w:t>
      </w:r>
      <w:r/>
    </w:p>
    <w:p>
      <w:pPr>
        <w:pStyle w:val="801"/>
        <w:jc w:val="center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муниципальной работы: «Организация мероприятий в сфере молодежной политики, направленных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потенциала подростков и молодежи».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Уникальный номер реестровой записи:</w:t>
      </w:r>
      <w:r>
        <w:rPr>
          <w:sz w:val="28"/>
          <w:szCs w:val="24"/>
        </w:rPr>
        <w:t xml:space="preserve"> </w:t>
      </w:r>
      <w:r>
        <w:rPr>
          <w:sz w:val="28"/>
          <w:szCs w:val="28"/>
        </w:rPr>
        <w:t xml:space="preserve">1001430.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Единица измерения показателя объема выполнения муниципальной работы: количество мероприятий.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4992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3"/>
        <w:gridCol w:w="2267"/>
        <w:gridCol w:w="2694"/>
        <w:gridCol w:w="4677"/>
      </w:tblGrid>
      <w:tr>
        <w:tblPrEx/>
        <w:trPr>
          <w:trHeight w:val="4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jc w:val="center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натуральной нормы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Единица измерения натуральной нормы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Значение натуральной нормы / срок полезного использования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 определения значения натуральной нормы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01"/>
        <w:rPr>
          <w:sz w:val="2"/>
        </w:rPr>
      </w:pPr>
      <w:r>
        <w:rPr>
          <w:sz w:val="2"/>
        </w:rPr>
      </w:r>
      <w:r>
        <w:rPr>
          <w:sz w:val="2"/>
        </w:rPr>
      </w:r>
      <w:r>
        <w:rPr>
          <w:sz w:val="2"/>
        </w:rPr>
      </w:r>
    </w:p>
    <w:tbl>
      <w:tblPr>
        <w:tblW w:w="14992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3"/>
        <w:gridCol w:w="2267"/>
        <w:gridCol w:w="2694"/>
        <w:gridCol w:w="4677"/>
      </w:tblGrid>
      <w:tr>
        <w:tblPrEx/>
        <w:trPr>
          <w:trHeight w:val="2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1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Натуральные нормы, используемые при определении значения базового норматива затрат, непосредственно связанных с выполнением муниципальной работы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1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 Натуральные нормы, используемые при определении затрат на оплату труда с начис</w:t>
            </w:r>
            <w:r>
              <w:rPr>
                <w:sz w:val="24"/>
                <w:szCs w:val="24"/>
              </w:rPr>
              <w:t xml:space="preserve">лениями на выплаты по оплате труда работников, непосредственно связанных с выполнением муниципальной работы, включая страховые взносы в Фонд пенсионного и социального страхования Российской Федерации, Федеральный фонд обязательного медицинского страхования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штатная единица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звукооператор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штатная единица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штатная единица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0,220000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художник по свету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штатная единица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художник-декоратор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штатная единица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1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 Натуральные нормы, используемые при определении затрат на коммунальные услуги, непосредственно связанных с выполнением муниципальной работы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электроэнергия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837,609739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теплоэнергия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Гкал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6,360000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водоснабжение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куб. 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38,933504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водоотведение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куб. 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38,933504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1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Натуральные нормы, используемые при определении значения базового норматива затрат на общехозяйственные нужды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1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 Натуральные нормы, используемые при определении затрат на коммунальные услуги, за исключением затрат, непосредственно связанных с выполнением муниципальной работы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электроэнергия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1 819,781565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теплоэнергия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Гкал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13,810000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водоснабжение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куб. 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84,586496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водоотведение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куб. 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84,586496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вывоз твердых коммунальных отходов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0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040</w:t>
            </w:r>
            <w:r>
              <w:rPr>
                <w:sz w:val="24"/>
                <w:szCs w:val="24"/>
              </w:rPr>
              <w:t xml:space="preserve">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1" w:type="dxa"/>
            <w:textDirection w:val="lrTb"/>
            <w:noWrap w:val="false"/>
          </w:tcPr>
          <w:p>
            <w:pPr>
              <w:pStyle w:val="8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Натуральные нормы, используемые при определении затрат на содержание объектов недвижимого имущества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дератизация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кв. м</w:t>
            </w:r>
            <w:r>
              <w:rPr>
                <w:sz w:val="24"/>
                <w:szCs w:val="24"/>
                <w:vertAlign w:val="superscript"/>
              </w:rPr>
            </w:r>
            <w:r>
              <w:rPr>
                <w:sz w:val="24"/>
                <w:szCs w:val="24"/>
                <w:vertAlign w:val="superscript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45,090000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обслуживание, ремонт, опрессовка системы центрального теплоснабжения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0,090000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охрана тревожной кнопкой сигнализации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уборка помещений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кв. 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142,260000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1" w:type="dxa"/>
            <w:textDirection w:val="lrTb"/>
            <w:noWrap w:val="false"/>
          </w:tcPr>
          <w:p>
            <w:pPr>
              <w:pStyle w:val="8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Натуральные нормы, используемые при определении затрат на содержание объектов особо ценного движимого имущества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техническое обслуживание автоматической пожарной сигнализации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0,520000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1" w:type="dxa"/>
            <w:textDirection w:val="lrTb"/>
            <w:noWrap w:val="false"/>
          </w:tcPr>
          <w:p>
            <w:pPr>
              <w:pStyle w:val="8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Натуральные нормы, используемые при определении затрат на услуги связи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абонентская связь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номеров, ед.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0,520000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Интернет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единиц подключения, ед.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1" w:type="dxa"/>
            <w:textDirection w:val="lrTb"/>
            <w:noWrap w:val="false"/>
          </w:tcPr>
          <w:p>
            <w:pPr>
              <w:pStyle w:val="8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 Натуральные нормы, используемые при определении затрат на оплату труда с начислениями на выплаты по оплате труда работников, которые не принимают непосредственного участия в выполнении муниципальной работы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генеральный директор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штатная единица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генерального директора по административно-хозяйственной части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штатная единица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1" w:type="dxa"/>
            <w:textDirection w:val="lrTb"/>
            <w:noWrap w:val="false"/>
          </w:tcPr>
          <w:p>
            <w:pPr>
              <w:pStyle w:val="8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 Натуральные нормы, используемые при определении затрат на прочие общехозяйственные нужды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охраны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332,870000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полиграфической продукции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0,350000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информационному обслуживанию 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4"/>
                <w:szCs w:val="24"/>
              </w:rPr>
              <w:t xml:space="preserve">и программному обеспечению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0,220000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проверка, ремонт, настройка средств измерения, противопожарного водовода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0,090000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техническая поддержка, ремонт контрольно-кассовой техники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обслуживанию посетителей в гардеробе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техническое обслуживание компьютерной техники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пульт управления световым оборудованием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 / 2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световой прибор «Вращающаяся голова»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0,090000 / 6 лет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акустическая система со встроенным усилителем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</w:t>
            </w:r>
            <w:r>
              <w:rPr>
                <w:sz w:val="24"/>
                <w:szCs w:val="24"/>
                <w:lang w:val="en-US"/>
              </w:rPr>
              <w:t xml:space="preserve">17</w:t>
            </w:r>
            <w:r>
              <w:rPr>
                <w:sz w:val="24"/>
                <w:szCs w:val="24"/>
              </w:rPr>
              <w:t xml:space="preserve">0000 / 3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пульт микшерный 24 моно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 / 3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вокальная радиосистема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0,170000 / 3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прожектор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0,520000 / 8 лет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ноутбук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 / 3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бумага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пачка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6,520000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ручка шариковая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6,520000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горюче-смазочные материалы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в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канцелярские товары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в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3" w:type="dxa"/>
            <w:textDirection w:val="lrTb"/>
            <w:noWrap w:val="false"/>
          </w:tcPr>
          <w:p>
            <w:pPr>
              <w:pStyle w:val="8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хозяйственные товары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в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0,480000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01"/>
      </w:pPr>
      <w:r/>
      <w:r/>
    </w:p>
    <w:sectPr>
      <w:headerReference w:type="default" r:id="rId11"/>
      <w:headerReference w:type="first" r:id="rId12"/>
      <w:footerReference w:type="default" r:id="rId16"/>
      <w:footerReference w:type="first" r:id="rId17"/>
      <w:footnotePr/>
      <w:endnotePr/>
      <w:type w:val="nextPage"/>
      <w:pgSz w:w="16838" w:h="11906" w:orient="landscape"/>
      <w:pgMar w:top="1134" w:right="567" w:bottom="1134" w:left="1418" w:header="363" w:footer="68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Droid Sans">
    <w:panose1 w:val="020B0606030804020204"/>
  </w:font>
  <w:font w:name="Open Sans">
    <w:panose1 w:val="020B0606030504020204"/>
  </w:font>
  <w:font w:name="Courier New">
    <w:panose1 w:val="02070309020205020404"/>
  </w:font>
  <w:font w:name="Segoe UI">
    <w:panose1 w:val="020B0503020204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0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0"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0"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69"/>
                            <w:rPr>
                              <w:rStyle w:val="851"/>
                            </w:rPr>
                          </w:pPr>
                          <w:r>
                            <w:rPr>
                              <w:rStyle w:val="851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51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51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51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51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51"/>
                            </w:rPr>
                          </w:r>
                          <w:r>
                            <w:rPr>
                              <w:rStyle w:val="851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69"/>
                      <w:rPr>
                        <w:rStyle w:val="851"/>
                      </w:rPr>
                    </w:pPr>
                    <w:r>
                      <w:rPr>
                        <w:rStyle w:val="851"/>
                        <w:color w:val="000000"/>
                      </w:rPr>
                      <w:fldChar w:fldCharType="begin"/>
                    </w:r>
                    <w:r>
                      <w:rPr>
                        <w:rStyle w:val="851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51"/>
                        <w:color w:val="000000"/>
                      </w:rPr>
                      <w:fldChar w:fldCharType="separate"/>
                    </w:r>
                    <w:r>
                      <w:rPr>
                        <w:rStyle w:val="851"/>
                        <w:color w:val="000000"/>
                      </w:rPr>
                      <w:t xml:space="preserve">0</w:t>
                    </w:r>
                    <w:r>
                      <w:rPr>
                        <w:rStyle w:val="851"/>
                        <w:color w:val="000000"/>
                      </w:rPr>
                      <w:fldChar w:fldCharType="end"/>
                    </w:r>
                    <w:r>
                      <w:rPr>
                        <w:rStyle w:val="851"/>
                      </w:rPr>
                    </w:r>
                    <w:r>
                      <w:rPr>
                        <w:rStyle w:val="851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3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01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800">
    <w:name w:val="No List"/>
    <w:uiPriority w:val="99"/>
    <w:semiHidden/>
    <w:unhideWhenUsed/>
  </w:style>
  <w:style w:type="paragraph" w:styleId="801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paragraph" w:styleId="802">
    <w:name w:val="Heading 1"/>
    <w:basedOn w:val="801"/>
    <w:next w:val="801"/>
    <w:link w:val="828"/>
    <w:qFormat/>
    <w:pPr>
      <w:ind w:right="-1" w:firstLine="709"/>
      <w:jc w:val="both"/>
      <w:keepNext/>
      <w:outlineLvl w:val="0"/>
    </w:pPr>
    <w:rPr>
      <w:sz w:val="24"/>
    </w:rPr>
  </w:style>
  <w:style w:type="paragraph" w:styleId="803">
    <w:name w:val="Heading 2"/>
    <w:basedOn w:val="801"/>
    <w:next w:val="801"/>
    <w:link w:val="829"/>
    <w:qFormat/>
    <w:pPr>
      <w:ind w:right="-1"/>
      <w:jc w:val="both"/>
      <w:keepNext/>
      <w:outlineLvl w:val="1"/>
    </w:pPr>
    <w:rPr>
      <w:sz w:val="24"/>
    </w:rPr>
  </w:style>
  <w:style w:type="paragraph" w:styleId="804">
    <w:name w:val="Heading 3"/>
    <w:basedOn w:val="801"/>
    <w:next w:val="801"/>
    <w:link w:val="83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05">
    <w:name w:val="Heading 4"/>
    <w:basedOn w:val="801"/>
    <w:next w:val="801"/>
    <w:link w:val="83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06">
    <w:name w:val="Heading 5"/>
    <w:basedOn w:val="801"/>
    <w:next w:val="801"/>
    <w:link w:val="83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07">
    <w:name w:val="Heading 6"/>
    <w:basedOn w:val="801"/>
    <w:next w:val="801"/>
    <w:link w:val="83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08">
    <w:name w:val="Heading 7"/>
    <w:basedOn w:val="801"/>
    <w:next w:val="801"/>
    <w:link w:val="83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9">
    <w:name w:val="Heading 8"/>
    <w:basedOn w:val="801"/>
    <w:next w:val="801"/>
    <w:link w:val="83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10">
    <w:name w:val="Heading 9"/>
    <w:basedOn w:val="801"/>
    <w:next w:val="801"/>
    <w:link w:val="83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1" w:default="1">
    <w:name w:val="Default Paragraph Font"/>
    <w:uiPriority w:val="1"/>
    <w:semiHidden/>
    <w:unhideWhenUsed/>
    <w:qFormat/>
  </w:style>
  <w:style w:type="character" w:styleId="812" w:customStyle="1">
    <w:name w:val="Heading 1 Char"/>
    <w:basedOn w:val="811"/>
    <w:uiPriority w:val="9"/>
    <w:qFormat/>
    <w:rPr>
      <w:rFonts w:ascii="Arial" w:hAnsi="Arial" w:eastAsia="Arial" w:cs="Arial"/>
      <w:sz w:val="40"/>
      <w:szCs w:val="40"/>
    </w:rPr>
  </w:style>
  <w:style w:type="character" w:styleId="813" w:customStyle="1">
    <w:name w:val="Heading 2 Char"/>
    <w:basedOn w:val="811"/>
    <w:uiPriority w:val="9"/>
    <w:qFormat/>
    <w:rPr>
      <w:rFonts w:ascii="Arial" w:hAnsi="Arial" w:eastAsia="Arial" w:cs="Arial"/>
      <w:sz w:val="34"/>
    </w:rPr>
  </w:style>
  <w:style w:type="character" w:styleId="814" w:customStyle="1">
    <w:name w:val="Heading 3 Char"/>
    <w:basedOn w:val="811"/>
    <w:uiPriority w:val="9"/>
    <w:qFormat/>
    <w:rPr>
      <w:rFonts w:ascii="Arial" w:hAnsi="Arial" w:eastAsia="Arial" w:cs="Arial"/>
      <w:sz w:val="30"/>
      <w:szCs w:val="30"/>
    </w:rPr>
  </w:style>
  <w:style w:type="character" w:styleId="815" w:customStyle="1">
    <w:name w:val="Heading 4 Char"/>
    <w:basedOn w:val="811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16" w:customStyle="1">
    <w:name w:val="Heading 5 Char"/>
    <w:basedOn w:val="811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17" w:customStyle="1">
    <w:name w:val="Heading 6 Char"/>
    <w:basedOn w:val="81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18" w:customStyle="1">
    <w:name w:val="Heading 7 Char"/>
    <w:basedOn w:val="811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9" w:customStyle="1">
    <w:name w:val="Heading 8 Char"/>
    <w:basedOn w:val="811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20" w:customStyle="1">
    <w:name w:val="Heading 9 Char"/>
    <w:basedOn w:val="811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21" w:customStyle="1">
    <w:name w:val="Title Char"/>
    <w:basedOn w:val="811"/>
    <w:uiPriority w:val="10"/>
    <w:qFormat/>
    <w:rPr>
      <w:sz w:val="48"/>
      <w:szCs w:val="48"/>
    </w:rPr>
  </w:style>
  <w:style w:type="character" w:styleId="822" w:customStyle="1">
    <w:name w:val="Subtitle Char"/>
    <w:basedOn w:val="811"/>
    <w:uiPriority w:val="11"/>
    <w:qFormat/>
    <w:rPr>
      <w:sz w:val="24"/>
      <w:szCs w:val="24"/>
    </w:rPr>
  </w:style>
  <w:style w:type="character" w:styleId="823" w:customStyle="1">
    <w:name w:val="Quote Char"/>
    <w:uiPriority w:val="29"/>
    <w:qFormat/>
    <w:rPr>
      <w:i/>
    </w:rPr>
  </w:style>
  <w:style w:type="character" w:styleId="824" w:customStyle="1">
    <w:name w:val="Intense Quote Char"/>
    <w:uiPriority w:val="30"/>
    <w:qFormat/>
    <w:rPr>
      <w:i/>
    </w:rPr>
  </w:style>
  <w:style w:type="character" w:styleId="825" w:customStyle="1">
    <w:name w:val="Caption Char"/>
    <w:basedOn w:val="811"/>
    <w:uiPriority w:val="35"/>
    <w:qFormat/>
    <w:rPr>
      <w:b/>
      <w:bCs/>
      <w:color w:val="4f81bd" w:themeColor="accent1"/>
      <w:sz w:val="18"/>
      <w:szCs w:val="18"/>
    </w:rPr>
  </w:style>
  <w:style w:type="character" w:styleId="826" w:customStyle="1">
    <w:name w:val="Footnote Text Char"/>
    <w:uiPriority w:val="99"/>
    <w:qFormat/>
    <w:rPr>
      <w:sz w:val="18"/>
    </w:rPr>
  </w:style>
  <w:style w:type="character" w:styleId="827" w:customStyle="1">
    <w:name w:val="Endnote Text Char"/>
    <w:uiPriority w:val="99"/>
    <w:qFormat/>
    <w:rPr>
      <w:sz w:val="20"/>
    </w:rPr>
  </w:style>
  <w:style w:type="character" w:styleId="828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829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830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831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32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33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34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35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36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37" w:customStyle="1">
    <w:name w:val="Заголовок Знак"/>
    <w:uiPriority w:val="10"/>
    <w:qFormat/>
    <w:rPr>
      <w:sz w:val="48"/>
      <w:szCs w:val="48"/>
    </w:rPr>
  </w:style>
  <w:style w:type="character" w:styleId="838" w:customStyle="1">
    <w:name w:val="Подзаголовок Знак"/>
    <w:uiPriority w:val="11"/>
    <w:qFormat/>
    <w:rPr>
      <w:sz w:val="24"/>
      <w:szCs w:val="24"/>
    </w:rPr>
  </w:style>
  <w:style w:type="character" w:styleId="839" w:customStyle="1">
    <w:name w:val="Цитата 2 Знак"/>
    <w:link w:val="866"/>
    <w:uiPriority w:val="29"/>
    <w:qFormat/>
    <w:rPr>
      <w:i/>
    </w:rPr>
  </w:style>
  <w:style w:type="character" w:styleId="840" w:customStyle="1">
    <w:name w:val="Выделенная цитата Знак"/>
    <w:link w:val="867"/>
    <w:uiPriority w:val="30"/>
    <w:qFormat/>
    <w:rPr>
      <w:i/>
    </w:rPr>
  </w:style>
  <w:style w:type="character" w:styleId="841" w:customStyle="1">
    <w:name w:val="Header Char"/>
    <w:uiPriority w:val="99"/>
    <w:qFormat/>
  </w:style>
  <w:style w:type="character" w:styleId="842" w:customStyle="1">
    <w:name w:val="Footer Char"/>
    <w:uiPriority w:val="99"/>
    <w:qFormat/>
  </w:style>
  <w:style w:type="character" w:styleId="843" w:customStyle="1">
    <w:name w:val="Название объекта Знак"/>
    <w:uiPriority w:val="35"/>
    <w:qFormat/>
    <w:rPr>
      <w:b/>
      <w:bCs/>
      <w:color w:val="4f81bd" w:themeColor="accent1"/>
      <w:sz w:val="18"/>
      <w:szCs w:val="18"/>
    </w:rPr>
  </w:style>
  <w:style w:type="character" w:styleId="844">
    <w:name w:val="Hyperlink"/>
    <w:uiPriority w:val="99"/>
    <w:unhideWhenUsed/>
    <w:rPr>
      <w:color w:val="0000ff"/>
      <w:u w:val="single"/>
    </w:rPr>
  </w:style>
  <w:style w:type="character" w:styleId="845" w:customStyle="1">
    <w:name w:val="Текст сноски Знак"/>
    <w:uiPriority w:val="99"/>
    <w:qFormat/>
    <w:rPr>
      <w:sz w:val="18"/>
    </w:rPr>
  </w:style>
  <w:style w:type="character" w:styleId="846">
    <w:name w:val="Символ сноски"/>
    <w:uiPriority w:val="99"/>
    <w:unhideWhenUsed/>
    <w:qFormat/>
    <w:rPr>
      <w:vertAlign w:val="superscript"/>
    </w:rPr>
  </w:style>
  <w:style w:type="character" w:styleId="847">
    <w:name w:val="footnote reference"/>
    <w:rPr>
      <w:vertAlign w:val="superscript"/>
    </w:rPr>
  </w:style>
  <w:style w:type="character" w:styleId="848" w:customStyle="1">
    <w:name w:val="Текст концевой сноски Знак"/>
    <w:uiPriority w:val="99"/>
    <w:qFormat/>
    <w:rPr>
      <w:sz w:val="20"/>
    </w:rPr>
  </w:style>
  <w:style w:type="character" w:styleId="849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50">
    <w:name w:val="endnote reference"/>
    <w:rPr>
      <w:vertAlign w:val="superscript"/>
    </w:rPr>
  </w:style>
  <w:style w:type="character" w:styleId="851">
    <w:name w:val="page number"/>
    <w:basedOn w:val="811"/>
  </w:style>
  <w:style w:type="character" w:styleId="852" w:customStyle="1">
    <w:name w:val="Текст выноски Знак"/>
    <w:link w:val="886"/>
    <w:uiPriority w:val="99"/>
    <w:qFormat/>
    <w:rPr>
      <w:rFonts w:ascii="Segoe UI" w:hAnsi="Segoe UI" w:cs="Segoe UI"/>
      <w:sz w:val="18"/>
      <w:szCs w:val="18"/>
    </w:rPr>
  </w:style>
  <w:style w:type="character" w:styleId="853" w:customStyle="1">
    <w:name w:val="Верхний колонтитул Знак"/>
    <w:uiPriority w:val="99"/>
    <w:qFormat/>
  </w:style>
  <w:style w:type="character" w:styleId="854">
    <w:name w:val="FollowedHyperlink"/>
    <w:uiPriority w:val="99"/>
    <w:unhideWhenUsed/>
    <w:rPr>
      <w:color w:val="800080"/>
      <w:u w:val="single"/>
    </w:rPr>
  </w:style>
  <w:style w:type="character" w:styleId="855" w:customStyle="1">
    <w:name w:val="Основной текст Знак"/>
    <w:qFormat/>
    <w:rPr>
      <w:rFonts w:ascii="Courier New" w:hAnsi="Courier New"/>
      <w:sz w:val="26"/>
    </w:rPr>
  </w:style>
  <w:style w:type="character" w:styleId="856" w:customStyle="1">
    <w:name w:val="Нижний колонтитул Знак"/>
    <w:uiPriority w:val="99"/>
    <w:qFormat/>
  </w:style>
  <w:style w:type="paragraph" w:styleId="857">
    <w:name w:val="Заголовок"/>
    <w:basedOn w:val="801"/>
    <w:next w:val="858"/>
    <w:qFormat/>
    <w:pPr>
      <w:keepNext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858">
    <w:name w:val="Body Text"/>
    <w:basedOn w:val="801"/>
    <w:link w:val="855"/>
    <w:pPr>
      <w:ind w:right="3117"/>
    </w:pPr>
    <w:rPr>
      <w:rFonts w:ascii="Courier New" w:hAnsi="Courier New"/>
      <w:sz w:val="26"/>
    </w:rPr>
  </w:style>
  <w:style w:type="paragraph" w:styleId="859">
    <w:name w:val="List"/>
    <w:basedOn w:val="858"/>
    <w:rPr>
      <w:rFonts w:cs="Droid Sans"/>
    </w:rPr>
  </w:style>
  <w:style w:type="paragraph" w:styleId="860">
    <w:name w:val="Caption"/>
    <w:basedOn w:val="801"/>
    <w:next w:val="801"/>
    <w:link w:val="843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61">
    <w:name w:val="Указатель"/>
    <w:basedOn w:val="801"/>
    <w:qFormat/>
    <w:pPr>
      <w:suppressLineNumbers/>
    </w:pPr>
    <w:rPr>
      <w:rFonts w:cs="Droid Sans"/>
    </w:rPr>
  </w:style>
  <w:style w:type="paragraph" w:styleId="862">
    <w:name w:val="List Paragraph"/>
    <w:basedOn w:val="801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63">
    <w:name w:val="No Spacing"/>
    <w:uiPriority w:val="1"/>
    <w:qFormat/>
    <w:pPr>
      <w:jc w:val="left"/>
      <w:spacing w:before="0" w:after="0"/>
      <w:widowControl/>
    </w:pPr>
    <w:rPr>
      <w:rFonts w:ascii="Calibri" w:hAnsi="Calibri" w:eastAsia="Calibri" w:cs="Times New Roman"/>
      <w:color w:val="auto"/>
      <w:sz w:val="22"/>
      <w:szCs w:val="22"/>
      <w:lang w:val="ru-RU" w:eastAsia="en-US" w:bidi="ar-SA"/>
    </w:rPr>
  </w:style>
  <w:style w:type="paragraph" w:styleId="864">
    <w:name w:val="Title"/>
    <w:basedOn w:val="801"/>
    <w:next w:val="801"/>
    <w:link w:val="837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65">
    <w:name w:val="Subtitle"/>
    <w:basedOn w:val="801"/>
    <w:next w:val="801"/>
    <w:link w:val="838"/>
    <w:uiPriority w:val="11"/>
    <w:qFormat/>
    <w:pPr>
      <w:spacing w:before="200" w:after="200"/>
    </w:pPr>
    <w:rPr>
      <w:sz w:val="24"/>
      <w:szCs w:val="24"/>
    </w:rPr>
  </w:style>
  <w:style w:type="paragraph" w:styleId="866">
    <w:name w:val="Quote"/>
    <w:basedOn w:val="801"/>
    <w:next w:val="801"/>
    <w:link w:val="839"/>
    <w:uiPriority w:val="29"/>
    <w:qFormat/>
    <w:pPr>
      <w:ind w:left="720" w:right="720"/>
    </w:pPr>
    <w:rPr>
      <w:i/>
    </w:rPr>
  </w:style>
  <w:style w:type="paragraph" w:styleId="867">
    <w:name w:val="Intense Quote"/>
    <w:basedOn w:val="801"/>
    <w:next w:val="801"/>
    <w:link w:val="8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68">
    <w:name w:val="Header and Footer"/>
    <w:basedOn w:val="801"/>
    <w:qFormat/>
  </w:style>
  <w:style w:type="paragraph" w:styleId="869">
    <w:name w:val="Header"/>
    <w:basedOn w:val="801"/>
    <w:link w:val="853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70">
    <w:name w:val="Footer"/>
    <w:basedOn w:val="801"/>
    <w:link w:val="856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71">
    <w:name w:val="footnote text"/>
    <w:basedOn w:val="801"/>
    <w:link w:val="845"/>
    <w:uiPriority w:val="99"/>
    <w:semiHidden/>
    <w:unhideWhenUsed/>
    <w:pPr>
      <w:spacing w:before="0" w:after="40"/>
    </w:pPr>
    <w:rPr>
      <w:sz w:val="18"/>
    </w:rPr>
  </w:style>
  <w:style w:type="paragraph" w:styleId="872">
    <w:name w:val="endnote text"/>
    <w:basedOn w:val="801"/>
    <w:link w:val="848"/>
    <w:uiPriority w:val="99"/>
    <w:semiHidden/>
    <w:unhideWhenUsed/>
  </w:style>
  <w:style w:type="paragraph" w:styleId="873">
    <w:name w:val="toc 1"/>
    <w:basedOn w:val="801"/>
    <w:next w:val="801"/>
    <w:uiPriority w:val="39"/>
    <w:unhideWhenUsed/>
    <w:pPr>
      <w:spacing w:before="0" w:after="57"/>
    </w:pPr>
  </w:style>
  <w:style w:type="paragraph" w:styleId="874">
    <w:name w:val="toc 2"/>
    <w:basedOn w:val="801"/>
    <w:next w:val="801"/>
    <w:uiPriority w:val="39"/>
    <w:unhideWhenUsed/>
    <w:pPr>
      <w:ind w:left="283"/>
      <w:spacing w:before="0" w:after="57"/>
    </w:pPr>
  </w:style>
  <w:style w:type="paragraph" w:styleId="875">
    <w:name w:val="toc 3"/>
    <w:basedOn w:val="801"/>
    <w:next w:val="801"/>
    <w:uiPriority w:val="39"/>
    <w:unhideWhenUsed/>
    <w:pPr>
      <w:ind w:left="567"/>
      <w:spacing w:before="0" w:after="57"/>
    </w:pPr>
  </w:style>
  <w:style w:type="paragraph" w:styleId="876">
    <w:name w:val="toc 4"/>
    <w:basedOn w:val="801"/>
    <w:next w:val="801"/>
    <w:uiPriority w:val="39"/>
    <w:unhideWhenUsed/>
    <w:pPr>
      <w:ind w:left="850"/>
      <w:spacing w:before="0" w:after="57"/>
    </w:pPr>
  </w:style>
  <w:style w:type="paragraph" w:styleId="877">
    <w:name w:val="toc 5"/>
    <w:basedOn w:val="801"/>
    <w:next w:val="801"/>
    <w:uiPriority w:val="39"/>
    <w:unhideWhenUsed/>
    <w:pPr>
      <w:ind w:left="1134"/>
      <w:spacing w:before="0" w:after="57"/>
    </w:pPr>
  </w:style>
  <w:style w:type="paragraph" w:styleId="878">
    <w:name w:val="toc 6"/>
    <w:basedOn w:val="801"/>
    <w:next w:val="801"/>
    <w:uiPriority w:val="39"/>
    <w:unhideWhenUsed/>
    <w:pPr>
      <w:ind w:left="1417"/>
      <w:spacing w:before="0" w:after="57"/>
    </w:pPr>
  </w:style>
  <w:style w:type="paragraph" w:styleId="879">
    <w:name w:val="toc 7"/>
    <w:basedOn w:val="801"/>
    <w:next w:val="801"/>
    <w:uiPriority w:val="39"/>
    <w:unhideWhenUsed/>
    <w:pPr>
      <w:ind w:left="1701"/>
      <w:spacing w:before="0" w:after="57"/>
    </w:pPr>
  </w:style>
  <w:style w:type="paragraph" w:styleId="880">
    <w:name w:val="toc 8"/>
    <w:basedOn w:val="801"/>
    <w:next w:val="801"/>
    <w:uiPriority w:val="39"/>
    <w:unhideWhenUsed/>
    <w:pPr>
      <w:ind w:left="1984"/>
      <w:spacing w:before="0" w:after="57"/>
    </w:pPr>
  </w:style>
  <w:style w:type="paragraph" w:styleId="881">
    <w:name w:val="toc 9"/>
    <w:basedOn w:val="801"/>
    <w:next w:val="801"/>
    <w:uiPriority w:val="39"/>
    <w:unhideWhenUsed/>
    <w:pPr>
      <w:ind w:left="2268"/>
      <w:spacing w:before="0" w:after="57"/>
    </w:pPr>
  </w:style>
  <w:style w:type="paragraph" w:styleId="882">
    <w:name w:val="index heading"/>
    <w:basedOn w:val="857"/>
  </w:style>
  <w:style w:type="paragraph" w:styleId="883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884">
    <w:name w:val="table of figures"/>
    <w:basedOn w:val="801"/>
    <w:next w:val="801"/>
    <w:uiPriority w:val="99"/>
    <w:unhideWhenUsed/>
  </w:style>
  <w:style w:type="paragraph" w:styleId="885">
    <w:name w:val="Body Text Indent"/>
    <w:basedOn w:val="801"/>
    <w:pPr>
      <w:ind w:right="-1"/>
      <w:jc w:val="both"/>
    </w:pPr>
    <w:rPr>
      <w:sz w:val="26"/>
    </w:rPr>
  </w:style>
  <w:style w:type="paragraph" w:styleId="886">
    <w:name w:val="Balloon Text"/>
    <w:basedOn w:val="801"/>
    <w:link w:val="852"/>
    <w:uiPriority w:val="99"/>
    <w:qFormat/>
    <w:rPr>
      <w:rFonts w:ascii="Segoe UI" w:hAnsi="Segoe UI" w:cs="Segoe UI"/>
      <w:sz w:val="18"/>
      <w:szCs w:val="18"/>
    </w:rPr>
  </w:style>
  <w:style w:type="paragraph" w:styleId="887" w:customStyle="1">
    <w:name w:val="xl65"/>
    <w:basedOn w:val="801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88" w:customStyle="1">
    <w:name w:val="xl66"/>
    <w:basedOn w:val="801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89" w:customStyle="1">
    <w:name w:val="xl67"/>
    <w:basedOn w:val="801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0" w:customStyle="1">
    <w:name w:val="xl68"/>
    <w:basedOn w:val="801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1" w:customStyle="1">
    <w:name w:val="xl69"/>
    <w:basedOn w:val="801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2" w:customStyle="1">
    <w:name w:val="xl70"/>
    <w:basedOn w:val="801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3" w:customStyle="1">
    <w:name w:val="xl71"/>
    <w:basedOn w:val="801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4" w:customStyle="1">
    <w:name w:val="xl72"/>
    <w:basedOn w:val="801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5" w:customStyle="1">
    <w:name w:val="xl73"/>
    <w:basedOn w:val="801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96" w:customStyle="1">
    <w:name w:val="xl74"/>
    <w:basedOn w:val="801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7" w:customStyle="1">
    <w:name w:val="xl75"/>
    <w:basedOn w:val="801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8" w:customStyle="1">
    <w:name w:val="xl76"/>
    <w:basedOn w:val="801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99" w:customStyle="1">
    <w:name w:val="xl77"/>
    <w:basedOn w:val="801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0" w:customStyle="1">
    <w:name w:val="xl78"/>
    <w:basedOn w:val="801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1" w:customStyle="1">
    <w:name w:val="xl79"/>
    <w:basedOn w:val="801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Форма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903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904" w:customStyle="1">
    <w:name w:val="font5"/>
    <w:basedOn w:val="801"/>
    <w:qFormat/>
    <w:pPr>
      <w:spacing w:beforeAutospacing="1" w:afterAutospacing="1"/>
    </w:pPr>
    <w:rPr>
      <w:color w:val="000000"/>
      <w:sz w:val="28"/>
      <w:szCs w:val="28"/>
    </w:rPr>
  </w:style>
  <w:style w:type="paragraph" w:styleId="905" w:customStyle="1">
    <w:name w:val="xl80"/>
    <w:basedOn w:val="801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06" w:customStyle="1">
    <w:name w:val="xl81"/>
    <w:basedOn w:val="801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07" w:customStyle="1">
    <w:name w:val="xl82"/>
    <w:basedOn w:val="801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08" w:customStyle="1">
    <w:name w:val="xl83"/>
    <w:basedOn w:val="801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09" w:customStyle="1">
    <w:name w:val="xl84"/>
    <w:basedOn w:val="801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0" w:customStyle="1">
    <w:name w:val="xl85"/>
    <w:basedOn w:val="801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1" w:customStyle="1">
    <w:name w:val="xl86"/>
    <w:basedOn w:val="801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2" w:customStyle="1">
    <w:name w:val="xl87"/>
    <w:basedOn w:val="801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3" w:customStyle="1">
    <w:name w:val="xl88"/>
    <w:basedOn w:val="801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4" w:customStyle="1">
    <w:name w:val="xl89"/>
    <w:basedOn w:val="801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5" w:customStyle="1">
    <w:name w:val="xl90"/>
    <w:basedOn w:val="801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6" w:customStyle="1">
    <w:name w:val="xl91"/>
    <w:basedOn w:val="801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7" w:customStyle="1">
    <w:name w:val="xl92"/>
    <w:basedOn w:val="801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8" w:customStyle="1">
    <w:name w:val="xl93"/>
    <w:basedOn w:val="801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9" w:customStyle="1">
    <w:name w:val="xl94"/>
    <w:basedOn w:val="801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95"/>
    <w:basedOn w:val="801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96"/>
    <w:basedOn w:val="801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97"/>
    <w:basedOn w:val="801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3" w:customStyle="1">
    <w:name w:val="xl98"/>
    <w:basedOn w:val="801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24" w:customStyle="1">
    <w:name w:val="xl99"/>
    <w:basedOn w:val="801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5" w:customStyle="1">
    <w:name w:val="xl100"/>
    <w:basedOn w:val="801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6" w:customStyle="1">
    <w:name w:val="xl101"/>
    <w:basedOn w:val="801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7" w:customStyle="1">
    <w:name w:val="xl102"/>
    <w:basedOn w:val="801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8" w:customStyle="1">
    <w:name w:val="xl103"/>
    <w:basedOn w:val="801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9" w:customStyle="1">
    <w:name w:val="xl104"/>
    <w:basedOn w:val="801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0" w:customStyle="1">
    <w:name w:val="xl105"/>
    <w:basedOn w:val="801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1" w:customStyle="1">
    <w:name w:val="xl106"/>
    <w:basedOn w:val="801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32" w:customStyle="1">
    <w:name w:val="xl107"/>
    <w:basedOn w:val="801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3" w:customStyle="1">
    <w:name w:val="xl108"/>
    <w:basedOn w:val="801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4" w:customStyle="1">
    <w:name w:val="xl109"/>
    <w:basedOn w:val="801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5" w:customStyle="1">
    <w:name w:val="xl110"/>
    <w:basedOn w:val="801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111"/>
    <w:basedOn w:val="801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 w:customStyle="1">
    <w:name w:val="xl112"/>
    <w:basedOn w:val="801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938" w:customStyle="1">
    <w:name w:val="xl113"/>
    <w:basedOn w:val="801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14"/>
    <w:basedOn w:val="801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15"/>
    <w:basedOn w:val="801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41" w:customStyle="1">
    <w:name w:val="xl116"/>
    <w:basedOn w:val="801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17"/>
    <w:basedOn w:val="801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18"/>
    <w:basedOn w:val="801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19"/>
    <w:basedOn w:val="801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20"/>
    <w:basedOn w:val="801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6" w:customStyle="1">
    <w:name w:val="xl121"/>
    <w:basedOn w:val="801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7" w:customStyle="1">
    <w:name w:val="xl122"/>
    <w:basedOn w:val="801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 w:customStyle="1">
    <w:name w:val="xl123"/>
    <w:basedOn w:val="801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9" w:customStyle="1">
    <w:name w:val="xl124"/>
    <w:basedOn w:val="801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0" w:customStyle="1">
    <w:name w:val="xl125"/>
    <w:basedOn w:val="801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font6"/>
    <w:basedOn w:val="801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952" w:customStyle="1">
    <w:name w:val="font7"/>
    <w:basedOn w:val="801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953" w:customStyle="1">
    <w:name w:val="font8"/>
    <w:basedOn w:val="801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954">
    <w:name w:val="Normal (Web)"/>
    <w:basedOn w:val="801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955">
    <w:name w:val="Содержимое врезки"/>
    <w:basedOn w:val="801"/>
    <w:qFormat/>
  </w:style>
  <w:style w:type="paragraph" w:styleId="956">
    <w:name w:val="Верхний колонтитул слева"/>
    <w:basedOn w:val="869"/>
    <w:qFormat/>
  </w:style>
  <w:style w:type="paragraph" w:styleId="957">
    <w:name w:val="Содержимое таблицы"/>
    <w:basedOn w:val="801"/>
    <w:qFormat/>
    <w:pPr>
      <w:widowControl w:val="off"/>
      <w:suppressLineNumbers/>
    </w:pPr>
  </w:style>
  <w:style w:type="paragraph" w:styleId="958">
    <w:name w:val="Заголовок таблицы"/>
    <w:basedOn w:val="957"/>
    <w:qFormat/>
    <w:pPr>
      <w:jc w:val="center"/>
      <w:suppressLineNumbers/>
    </w:pPr>
    <w:rPr>
      <w:b/>
      <w:bCs/>
    </w:rPr>
  </w:style>
  <w:style w:type="numbering" w:styleId="959" w:default="1">
    <w:name w:val="Без списка"/>
    <w:uiPriority w:val="99"/>
    <w:semiHidden/>
    <w:unhideWhenUsed/>
    <w:qFormat/>
  </w:style>
  <w:style w:type="numbering" w:styleId="960" w:customStyle="1">
    <w:name w:val="Нет списка11"/>
    <w:uiPriority w:val="99"/>
    <w:semiHidden/>
    <w:unhideWhenUsed/>
    <w:qFormat/>
  </w:style>
  <w:style w:type="numbering" w:styleId="961" w:customStyle="1">
    <w:name w:val="Нет списка111"/>
    <w:uiPriority w:val="99"/>
    <w:semiHidden/>
    <w:unhideWhenUsed/>
    <w:qFormat/>
  </w:style>
  <w:style w:type="numbering" w:styleId="962" w:customStyle="1">
    <w:name w:val="Нет списка2"/>
    <w:uiPriority w:val="99"/>
    <w:semiHidden/>
    <w:unhideWhenUsed/>
    <w:qFormat/>
  </w:style>
  <w:style w:type="table" w:styleId="963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964">
    <w:name w:val="Table Grid"/>
    <w:basedOn w:val="963"/>
    <w:uiPriority w:val="59"/>
    <w:rPr>
      <w:sz w:val="22"/>
      <w:szCs w:val="22"/>
      <w:lang w:eastAsia="en-US"/>
    </w:rPr>
    <w:tblPr/>
  </w:style>
  <w:style w:type="table" w:styleId="965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66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67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68">
    <w:name w:val="Plain Table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69">
    <w:name w:val="Plain Table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70">
    <w:name w:val="Plain Table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71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2" w:customStyle="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7B4D8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3" w:customStyle="1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DA9896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4" w:customStyle="1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4D79D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5" w:customStyle="1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B4A4C8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6" w:customStyle="1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5CEDD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7" w:customStyle="1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AC192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8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9" w:customStyle="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0" w:customStyle="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1" w:customStyle="1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2" w:customStyle="1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3" w:customStyle="1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4" w:customStyle="1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5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6" w:customStyle="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7" w:customStyle="1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8" w:customStyle="1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9" w:customStyle="1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0" w:customStyle="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1" w:customStyle="1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2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93" w:customStyle="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ce6f2" w:fill="dce6f2" w:themeFill="accent1" w:themeFillTint="32"/>
      </w:tcPr>
    </w:tblStylePr>
    <w:tblStylePr w:type="band1Vert">
      <w:rPr>
        <w:sz w:val="22"/>
      </w:rPr>
      <w:tcPr>
        <w:shd w:val="clear" w:color="dce6f2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d8ac2" w:fill="5d8ac2" w:themeFill="accent1" w:themeFillTint="EA"/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D8AC2" w:themeColor="accent1" w:sz="4" w:space="0"/>
        </w:tcBorders>
      </w:tcPr>
    </w:tblStylePr>
  </w:style>
  <w:style w:type="table" w:styleId="994" w:customStyle="1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D99695" w:themeColor="accent2" w:sz="4" w:space="0"/>
        </w:tcBorders>
      </w:tcPr>
    </w:tblStylePr>
  </w:style>
  <w:style w:type="table" w:styleId="995" w:customStyle="1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abb59" w:fill="9abb59" w:themeFill="accent3" w:themeFillTint="FE"/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ABB59" w:themeColor="accent3" w:sz="4" w:space="0"/>
        </w:tcBorders>
      </w:tcPr>
    </w:tblStylePr>
  </w:style>
  <w:style w:type="table" w:styleId="996" w:customStyle="1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B2A1C6" w:themeColor="accent4" w:sz="4" w:space="0"/>
        </w:tcBorders>
      </w:tcPr>
    </w:tblStylePr>
  </w:style>
  <w:style w:type="table" w:styleId="997" w:customStyle="1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998" w:customStyle="1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999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1000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sz w:val="22"/>
      </w:rPr>
      <w:tcPr>
        <w:shd w:val="clear" w:color="4f81bd" w:fill="4f81bd" w:themeFill="accent1"/>
      </w:tc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  <w:sz w:val="22"/>
      </w:rPr>
      <w:tcPr>
        <w:shd w:val="clear" w:color="4f81bd" w:fill="4f81bd" w:themeFill="accent1"/>
      </w:tcPr>
    </w:tblStylePr>
    <w:tblStylePr w:type="lastRow">
      <w:rPr>
        <w:b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1001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sz w:val="22"/>
      </w:rPr>
      <w:tcPr>
        <w:shd w:val="clear" w:color="c0504d" w:fill="c0504d" w:themeFill="accent2"/>
      </w:tc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  <w:sz w:val="22"/>
      </w:rPr>
      <w:tcPr>
        <w:shd w:val="clear" w:color="c0504d" w:fill="c0504d" w:themeFill="accent2"/>
      </w:tcPr>
    </w:tblStylePr>
    <w:tblStylePr w:type="lastRow">
      <w:rPr>
        <w:b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1002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sz w:val="22"/>
      </w:rPr>
      <w:tcPr>
        <w:shd w:val="clear" w:color="9bbb59" w:fill="9bbb59" w:themeFill="accent3"/>
      </w:tc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  <w:sz w:val="22"/>
      </w:rPr>
      <w:tcPr>
        <w:shd w:val="clear" w:color="9bbb59" w:fill="9bbb59" w:themeFill="accent3"/>
      </w:tcPr>
    </w:tblStylePr>
    <w:tblStylePr w:type="lastRow">
      <w:rPr>
        <w:b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1003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sz w:val="22"/>
      </w:rPr>
      <w:tcPr>
        <w:shd w:val="clear" w:color="8064a2" w:fill="8064a2" w:themeFill="accent4"/>
      </w:tc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  <w:sz w:val="22"/>
      </w:rPr>
      <w:tcPr>
        <w:shd w:val="clear" w:color="8064a2" w:fill="8064a2" w:themeFill="accent4"/>
      </w:tcPr>
    </w:tblStylePr>
    <w:tblStylePr w:type="lastRow">
      <w:rPr>
        <w:b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1004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sz w:val="22"/>
      </w:rPr>
      <w:tcPr>
        <w:shd w:val="clear" w:color="4bacc6" w:fill="4bacc6" w:themeFill="accent5"/>
      </w:tc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  <w:sz w:val="22"/>
      </w:rPr>
      <w:tcPr>
        <w:shd w:val="clear" w:color="4bacc6" w:fill="4bacc6" w:themeFill="accent5"/>
      </w:tcPr>
    </w:tblStylePr>
    <w:tblStylePr w:type="lastRow">
      <w:rPr>
        <w:b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1005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sz w:val="22"/>
      </w:rPr>
      <w:tcPr>
        <w:shd w:val="clear" w:color="f79646" w:fill="f79646" w:themeFill="accent6"/>
      </w:tc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  <w:sz w:val="22"/>
      </w:rPr>
      <w:tcPr>
        <w:shd w:val="clear" w:color="f79646" w:fill="f79646" w:themeFill="accent6"/>
      </w:tcPr>
    </w:tblStylePr>
    <w:tblStylePr w:type="lastRow">
      <w:rPr>
        <w:b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1006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1007" w:customStyle="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</w:style>
  <w:style w:type="table" w:styleId="1008" w:customStyle="1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</w:style>
  <w:style w:type="table" w:styleId="1009" w:customStyle="1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</w:style>
  <w:style w:type="table" w:styleId="1010" w:customStyle="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</w:style>
  <w:style w:type="table" w:styleId="1011" w:customStyle="1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1012" w:customStyle="1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1013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4" w:customStyle="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5" w:customStyle="1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6" w:customStyle="1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7" w:customStyle="1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8" w:customStyle="1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9" w:customStyle="1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053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0">
    <w:name w:val="List Table 1 Ligh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1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2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3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4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5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6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7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1028" w:customStyle="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styleId="1029" w:customStyle="1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styleId="1030" w:customStyle="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styleId="1031" w:customStyle="1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styleId="1032" w:customStyle="1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styleId="1033" w:customStyle="1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1034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5" w:customStyle="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6" w:customStyle="1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7" w:customStyle="1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3d69b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8" w:customStyle="1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39" w:customStyle="1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2ccdc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0" w:customStyle="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ac090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1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2" w:customStyle="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3" w:customStyle="1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4" w:customStyle="1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5" w:customStyle="1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6" w:customStyle="1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7" w:customStyle="1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8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49" w:customStyle="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50" w:customStyle="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D99695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51" w:customStyle="1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C3D69B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52" w:customStyle="1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B2A1C6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53" w:customStyle="1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92CCDC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54" w:customStyle="1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AC090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55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1056" w:customStyle="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057" w:customStyle="1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D99695" w:themeColor="accent2" w:sz="4" w:space="0"/>
        </w:tcBorders>
      </w:tcPr>
    </w:tblStylePr>
  </w:style>
  <w:style w:type="table" w:styleId="1058" w:customStyle="1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C3D69B" w:themeColor="accent3" w:sz="4" w:space="0"/>
        </w:tcBorders>
      </w:tcPr>
    </w:tblStylePr>
  </w:style>
  <w:style w:type="table" w:styleId="1059" w:customStyle="1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B2A1C6" w:themeColor="accent4" w:sz="4" w:space="0"/>
        </w:tcBorders>
      </w:tcPr>
    </w:tblStylePr>
  </w:style>
  <w:style w:type="table" w:styleId="1060" w:customStyle="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92CCDC" w:themeColor="accent5" w:sz="4" w:space="0"/>
        </w:tcBorders>
      </w:tcPr>
    </w:tblStylePr>
  </w:style>
  <w:style w:type="table" w:styleId="1061" w:customStyle="1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FAC090" w:themeColor="accent6" w:sz="4" w:space="0"/>
        </w:tcBorders>
      </w:tcPr>
    </w:tblStylePr>
  </w:style>
  <w:style w:type="table" w:styleId="1062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3" w:customStyle="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4" w:customStyle="1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5" w:customStyle="1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6" w:customStyle="1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7" w:customStyle="1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8" w:customStyle="1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9" w:customStyle="1">
    <w:name w:val="Lined - Accent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70" w:customStyle="1">
    <w:name w:val="Lined - Accent 1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71" w:customStyle="1">
    <w:name w:val="Lined - Accent 2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72" w:customStyle="1">
    <w:name w:val="Lined - Accent 3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73" w:customStyle="1">
    <w:name w:val="Lined - Accent 4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74" w:customStyle="1">
    <w:name w:val="Lined - Accent 5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75" w:customStyle="1">
    <w:name w:val="Lined - Accent 6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76" w:customStyle="1">
    <w:name w:val="Bordered &amp; Lined - Accent"/>
    <w:uiPriority w:val="99"/>
    <w:rPr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77" w:customStyle="1">
    <w:name w:val="Bordered &amp; Lined - Accent 1"/>
    <w:uiPriority w:val="99"/>
    <w:rPr>
      <w:lang w:eastAsia="ru-RU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78" w:customStyle="1">
    <w:name w:val="Bordered &amp; Lined - Accent 2"/>
    <w:uiPriority w:val="99"/>
    <w:rPr>
      <w:lang w:eastAsia="ru-RU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79" w:customStyle="1">
    <w:name w:val="Bordered &amp; Lined - Accent 3"/>
    <w:uiPriority w:val="99"/>
    <w:rPr>
      <w:lang w:eastAsia="ru-RU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80" w:customStyle="1">
    <w:name w:val="Bordered &amp; Lined - Accent 4"/>
    <w:uiPriority w:val="99"/>
    <w:rPr>
      <w:lang w:eastAsia="ru-RU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81" w:customStyle="1">
    <w:name w:val="Bordered &amp; Lined - Accent 5"/>
    <w:uiPriority w:val="99"/>
    <w:rPr>
      <w:lang w:eastAsia="ru-RU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82" w:customStyle="1">
    <w:name w:val="Bordered &amp; Lined - Accent 6"/>
    <w:uiPriority w:val="99"/>
    <w:rPr>
      <w:lang w:eastAsia="ru-RU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83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1084" w:customStyle="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85" w:customStyle="1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D99695" w:themeColor="accent2" w:sz="12" w:space="0"/>
        </w:tcBorders>
      </w:tcPr>
    </w:tblStylePr>
    <w:tblStylePr w:type="lastCol">
      <w:rPr>
        <w:sz w:val="22"/>
      </w:rPr>
      <w:tcPr>
        <w:tcBorders>
          <w:left w:val="single" w:color="D99695" w:themeColor="accent2" w:sz="12" w:space="0"/>
        </w:tcBorders>
      </w:tcPr>
    </w:tblStylePr>
    <w:tblStylePr w:type="lastRow">
      <w:rPr>
        <w:sz w:val="22"/>
      </w:rPr>
      <w:tcPr>
        <w:tcBorders>
          <w:top w:val="single" w:color="D99695" w:themeColor="accent2" w:sz="12" w:space="0"/>
        </w:tcBorders>
      </w:tcPr>
    </w:tblStylePr>
  </w:style>
  <w:style w:type="table" w:styleId="1086" w:customStyle="1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3D69B" w:themeColor="accent3" w:sz="12" w:space="0"/>
        </w:tcBorders>
      </w:tcPr>
    </w:tblStylePr>
    <w:tblStylePr w:type="lastCol">
      <w:rPr>
        <w:sz w:val="22"/>
      </w:rPr>
      <w:tcPr>
        <w:tcBorders>
          <w:left w:val="single" w:color="C3D69B" w:themeColor="accent3" w:sz="12" w:space="0"/>
        </w:tcBorders>
      </w:tcPr>
    </w:tblStylePr>
    <w:tblStylePr w:type="lastRow">
      <w:rPr>
        <w:sz w:val="22"/>
      </w:rPr>
      <w:tcPr>
        <w:tcBorders>
          <w:top w:val="single" w:color="C3D69B" w:themeColor="accent3" w:sz="12" w:space="0"/>
        </w:tcBorders>
      </w:tcPr>
    </w:tblStylePr>
  </w:style>
  <w:style w:type="table" w:styleId="1087" w:customStyle="1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B2A1C6" w:themeColor="accent4" w:sz="12" w:space="0"/>
        </w:tcBorders>
      </w:tcPr>
    </w:tblStylePr>
    <w:tblStylePr w:type="lastCol">
      <w:rPr>
        <w:sz w:val="22"/>
      </w:rPr>
      <w:tcPr>
        <w:tcBorders>
          <w:left w:val="single" w:color="B2A1C6" w:themeColor="accent4" w:sz="12" w:space="0"/>
        </w:tcBorders>
      </w:tcPr>
    </w:tblStylePr>
    <w:tblStylePr w:type="lastRow">
      <w:rPr>
        <w:sz w:val="22"/>
      </w:rPr>
      <w:tcPr>
        <w:tcBorders>
          <w:top w:val="single" w:color="B2A1C6" w:themeColor="accent4" w:sz="12" w:space="0"/>
        </w:tcBorders>
      </w:tcPr>
    </w:tblStylePr>
  </w:style>
  <w:style w:type="table" w:styleId="1088" w:customStyle="1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2CCDC" w:themeColor="accent5" w:sz="12" w:space="0"/>
        </w:tcBorders>
      </w:tcPr>
    </w:tblStylePr>
    <w:tblStylePr w:type="lastCol">
      <w:rPr>
        <w:sz w:val="22"/>
      </w:rPr>
      <w:tcPr>
        <w:tcBorders>
          <w:left w:val="single" w:color="92CCDC" w:themeColor="accent5" w:sz="12" w:space="0"/>
        </w:tcBorders>
      </w:tcPr>
    </w:tblStylePr>
    <w:tblStylePr w:type="lastRow">
      <w:rPr>
        <w:sz w:val="22"/>
      </w:rPr>
      <w:tcPr>
        <w:tcBorders>
          <w:top w:val="single" w:color="92CCDC" w:themeColor="accent5" w:sz="12" w:space="0"/>
        </w:tcBorders>
      </w:tcPr>
    </w:tblStylePr>
  </w:style>
  <w:style w:type="table" w:styleId="1089" w:customStyle="1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AC09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AC090" w:themeColor="accent6" w:sz="12" w:space="0"/>
        </w:tcBorders>
      </w:tcPr>
    </w:tblStylePr>
    <w:tblStylePr w:type="lastRow">
      <w:rPr>
        <w:sz w:val="22"/>
      </w:rPr>
      <w:tcPr>
        <w:tcBorders>
          <w:top w:val="single" w:color="FAC090" w:themeColor="accent6" w:sz="12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footer" Target="footer4.xml" /><Relationship Id="rId17" Type="http://schemas.openxmlformats.org/officeDocument/2006/relationships/footer" Target="footer5.xml" /><Relationship Id="rId1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krasnykh-ayu</cp:lastModifiedBy>
  <cp:revision>17</cp:revision>
  <dcterms:created xsi:type="dcterms:W3CDTF">2025-10-13T04:37:00Z</dcterms:created>
  <dcterms:modified xsi:type="dcterms:W3CDTF">2026-08-28T05:05:53Z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