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6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6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6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138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138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Прогнозный план приватизации муниципального имущества города Перми на 2026 год и плановый период 2027 и 2028 </w:t>
      </w:r>
      <w:r>
        <w:rPr>
          <w:b/>
          <w:sz w:val="28"/>
          <w:szCs w:val="28"/>
        </w:rPr>
        <w:t xml:space="preserve">годов, утвержденный решением Пермской городской Думы от 18.11.2025 № 217</w:t>
      </w:r>
      <w:r>
        <w:rPr>
          <w:b/>
          <w:bCs/>
          <w:sz w:val="28"/>
          <w:szCs w:val="28"/>
        </w:rPr>
      </w:r>
    </w:p>
    <w:p>
      <w:pPr>
        <w:pStyle w:val="87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зак</w:t>
      </w:r>
      <w:r>
        <w:rPr>
          <w:rFonts w:ascii="Times New Roman" w:hAnsi="Times New Roman"/>
          <w:sz w:val="28"/>
          <w:szCs w:val="28"/>
        </w:rPr>
        <w:t xml:space="preserve">онами от 21.12.2001 № 178-ФЗ «О </w:t>
      </w:r>
      <w:r>
        <w:rPr>
          <w:rFonts w:ascii="Times New Roman" w:hAnsi="Times New Roman"/>
          <w:sz w:val="28"/>
          <w:szCs w:val="28"/>
        </w:rPr>
        <w:t xml:space="preserve">пр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ватизации государственного и муниципального имущества», от 20.03.2025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№ 33-ФЗ «Об общих принципах организации местн</w:t>
      </w:r>
      <w:r>
        <w:rPr>
          <w:rFonts w:ascii="Times New Roman" w:hAnsi="Times New Roman"/>
          <w:sz w:val="28"/>
          <w:szCs w:val="28"/>
        </w:rPr>
        <w:t xml:space="preserve">ого самоуправления в единой сист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ме публичной власти», постановлением Правительства Российской Федер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ции от 26.12.2005 № 806 «Об утверждении Правил разработки прогнозных планов (пр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грамм) приватизации государственного и муниципального имущества и вн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сении </w:t>
      </w:r>
      <w:r>
        <w:rPr>
          <w:rFonts w:ascii="Times New Roman" w:hAnsi="Times New Roman"/>
          <w:sz w:val="28"/>
          <w:szCs w:val="28"/>
        </w:rPr>
        <w:t xml:space="preserve">изменений в Правила подготовки и принятия решений об условиях прив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тизации федерального</w:t>
      </w:r>
      <w:r>
        <w:rPr>
          <w:rFonts w:ascii="Times New Roman" w:hAnsi="Times New Roman"/>
          <w:sz w:val="28"/>
          <w:szCs w:val="28"/>
        </w:rPr>
        <w:t xml:space="preserve"> имущества», Уставом города Перми, решением Пермской горо</w:t>
      </w:r>
      <w:r>
        <w:rPr>
          <w:rFonts w:ascii="Times New Roman" w:hAnsi="Times New Roman"/>
          <w:sz w:val="28"/>
          <w:szCs w:val="28"/>
        </w:rPr>
        <w:t xml:space="preserve">д</w:t>
      </w:r>
      <w:r>
        <w:rPr>
          <w:rFonts w:ascii="Times New Roman" w:hAnsi="Times New Roman"/>
          <w:sz w:val="28"/>
          <w:szCs w:val="28"/>
        </w:rPr>
        <w:t xml:space="preserve">ской Думы от 20.11.2012 № </w:t>
      </w:r>
      <w:r>
        <w:rPr>
          <w:rFonts w:ascii="Times New Roman" w:hAnsi="Times New Roman"/>
          <w:sz w:val="28"/>
          <w:szCs w:val="28"/>
        </w:rPr>
        <w:t xml:space="preserve">256 «Об утверждении Положения о </w:t>
      </w:r>
      <w:r>
        <w:rPr>
          <w:rFonts w:ascii="Times New Roman" w:hAnsi="Times New Roman"/>
          <w:sz w:val="28"/>
          <w:szCs w:val="28"/>
        </w:rPr>
        <w:t xml:space="preserve">приватиз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ции м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ниципального имущества города Перми»</w:t>
      </w:r>
      <w:r>
        <w:rPr>
          <w:rFonts w:ascii="Times New Roman" w:hAnsi="Times New Roman"/>
          <w:sz w:val="28"/>
          <w:szCs w:val="28"/>
        </w:rPr>
      </w:r>
    </w:p>
    <w:p>
      <w:pPr>
        <w:pStyle w:val="875"/>
        <w:jc w:val="center"/>
        <w:spacing w:before="240" w:after="240"/>
        <w:tabs>
          <w:tab w:val="left" w:pos="7020" w:leader="none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</w:t>
      </w:r>
      <w:r>
        <w:rPr>
          <w:rFonts w:ascii="Times New Roman" w:hAnsi="Times New Roman"/>
          <w:b w:val="0"/>
          <w:sz w:val="28"/>
          <w:szCs w:val="28"/>
        </w:rPr>
        <w:t xml:space="preserve">ермская городская Дума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 е ш и л а</w:t>
      </w:r>
      <w:r>
        <w:rPr>
          <w:rFonts w:ascii="Times New Roman" w:hAnsi="Times New Roman"/>
          <w:b w:val="0"/>
          <w:sz w:val="28"/>
          <w:szCs w:val="28"/>
        </w:rPr>
        <w:t xml:space="preserve">:</w:t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87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</w:t>
      </w:r>
      <w:r>
        <w:rPr>
          <w:rFonts w:ascii="Times New Roman" w:hAnsi="Times New Roman"/>
          <w:sz w:val="28"/>
          <w:szCs w:val="28"/>
        </w:rPr>
        <w:t xml:space="preserve">Внести в Прогнозный план приватизации муниципального имущества г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рода Перми на 2026 год и плановый период 2027 и 2028 годов, утвержденный р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шением Пермской городской Думы от 18.11.2025 № </w:t>
      </w:r>
      <w:r>
        <w:rPr>
          <w:rFonts w:ascii="Times New Roman" w:hAnsi="Times New Roman"/>
          <w:sz w:val="28"/>
          <w:szCs w:val="28"/>
        </w:rPr>
        <w:t xml:space="preserve">217 (в редакции решений Пермской городской Думы от 24.03.2026 № 46, от 23.06.2026 № 102), изменения, в таблице </w:t>
      </w:r>
      <w:r>
        <w:rPr>
          <w:rFonts w:ascii="Times New Roman" w:hAnsi="Times New Roman"/>
          <w:sz w:val="28"/>
          <w:szCs w:val="28"/>
          <w:highlight w:val="white"/>
        </w:rPr>
        <w:t xml:space="preserve">раздела II:</w:t>
      </w:r>
      <w:r>
        <w:rPr>
          <w:rFonts w:ascii="Times New Roman" w:hAnsi="Times New Roman"/>
          <w:sz w:val="28"/>
          <w:szCs w:val="28"/>
        </w:rPr>
      </w:r>
    </w:p>
    <w:p>
      <w:pPr>
        <w:pStyle w:val="874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1.1 подраздел 1 дополнить строками согласно приложению к настоящему решению;</w:t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1.2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строку: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417"/>
        <w:gridCol w:w="5389"/>
        <w:gridCol w:w="1664"/>
      </w:tblGrid>
      <w:tr>
        <w:tblPrEx/>
        <w:trPr/>
        <w:tc>
          <w:tcPr>
            <w:tcBorders>
              <w:bottom w:val="single" w:color="000000" w:sz="4" w:space="0"/>
            </w:tcBorders>
            <w:tcW w:w="558" w:type="dxa"/>
            <w:textDirection w:val="lrTb"/>
            <w:noWrap w:val="false"/>
          </w:tcPr>
          <w:p>
            <w:pPr>
              <w:pStyle w:val="871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417" w:type="dxa"/>
            <w:textDirection w:val="lrTb"/>
            <w:noWrap w:val="false"/>
          </w:tcPr>
          <w:p>
            <w:pPr>
              <w:pStyle w:val="871"/>
              <w:ind w:firstLine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Итого по по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разд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лам 1, 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389" w:type="dxa"/>
            <w:textDirection w:val="lrTb"/>
            <w:noWrap w:val="false"/>
          </w:tcPr>
          <w:p>
            <w:pPr>
              <w:pStyle w:val="87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 xml:space="preserve">S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= 4397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кв.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664" w:type="dxa"/>
            <w:textDirection w:val="lrTb"/>
            <w:noWrap w:val="false"/>
          </w:tcPr>
          <w:p>
            <w:pPr>
              <w:pStyle w:val="871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pStyle w:val="871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                                                                    »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изложить в редакции: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417"/>
        <w:gridCol w:w="5389"/>
        <w:gridCol w:w="1664"/>
      </w:tblGrid>
      <w:tr>
        <w:tblPrEx/>
        <w:trPr/>
        <w:tc>
          <w:tcPr>
            <w:tcW w:w="558" w:type="dxa"/>
            <w:textDirection w:val="lrTb"/>
            <w:noWrap w:val="false"/>
          </w:tcPr>
          <w:p>
            <w:pPr>
              <w:pStyle w:val="871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417" w:type="dxa"/>
            <w:textDirection w:val="lrTb"/>
            <w:noWrap w:val="false"/>
          </w:tcPr>
          <w:p>
            <w:pPr>
              <w:pStyle w:val="871"/>
              <w:ind w:firstLine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Итого по по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разд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лам 1, 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389" w:type="dxa"/>
            <w:textDirection w:val="lrTb"/>
            <w:noWrap w:val="false"/>
          </w:tcPr>
          <w:p>
            <w:pPr>
              <w:pStyle w:val="87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 xml:space="preserve">S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= 5321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кв. 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664" w:type="dxa"/>
            <w:textDirection w:val="lrTb"/>
            <w:noWrap w:val="false"/>
          </w:tcPr>
          <w:p>
            <w:pPr>
              <w:pStyle w:val="87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</w:p>
        </w:tc>
      </w:tr>
    </w:tbl>
    <w:p>
      <w:pPr>
        <w:pStyle w:val="87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».</w:t>
      </w:r>
      <w:r>
        <w:rPr>
          <w:rFonts w:ascii="Times New Roman" w:hAnsi="Times New Roman"/>
          <w:sz w:val="28"/>
          <w:szCs w:val="28"/>
        </w:rPr>
      </w:r>
    </w:p>
    <w:p>
      <w:pPr>
        <w:pStyle w:val="87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официального опублик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ганов местного самоуправления муниципального образования город Пермь».</w:t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87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Обнародовать настоящее решение посредством оф</w:t>
      </w:r>
      <w:r>
        <w:rPr>
          <w:rFonts w:ascii="Times New Roman" w:hAnsi="Times New Roman"/>
          <w:sz w:val="28"/>
          <w:szCs w:val="28"/>
        </w:rPr>
        <w:t xml:space="preserve">ициального опублик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ганов местного самоуправления муниципального образования город Пермь», а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также в сетевом издании «Официальный сайт муниципального образования г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род Пермь www.gorodper</w:t>
      </w:r>
      <w:r>
        <w:rPr>
          <w:rFonts w:ascii="Times New Roman" w:hAnsi="Times New Roman"/>
          <w:sz w:val="28"/>
          <w:szCs w:val="28"/>
        </w:rPr>
        <w:t xml:space="preserve">m.ru».</w:t>
      </w:r>
      <w:r>
        <w:rPr>
          <w:rFonts w:ascii="Times New Roman" w:hAnsi="Times New Roman"/>
          <w:sz w:val="28"/>
          <w:szCs w:val="28"/>
        </w:rPr>
      </w:r>
    </w:p>
    <w:p>
      <w:pPr>
        <w:pStyle w:val="87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Контроль за</w:t>
      </w:r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инвестициям и управлению муниципальными р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сурсами.</w:t>
      </w:r>
      <w:r>
        <w:rPr>
          <w:rFonts w:ascii="Times New Roman" w:hAnsi="Times New Roman"/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</w:t>
      </w:r>
      <w:r>
        <w:rPr>
          <w:sz w:val="28"/>
          <w:szCs w:val="28"/>
        </w:rPr>
        <w:t xml:space="preserve">   Д.В. Малютин</w:t>
      </w:r>
      <w:r>
        <w:rPr>
          <w:sz w:val="28"/>
          <w:szCs w:val="28"/>
        </w:rPr>
      </w:r>
    </w:p>
    <w:p>
      <w:pPr>
        <w:jc w:val="both"/>
        <w:spacing w:before="720"/>
        <w:widowControl w:val="off"/>
        <w:rPr>
          <w:sz w:val="28"/>
          <w:szCs w:val="28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</w:p>
    <w:p>
      <w:pPr>
        <w:ind w:left="10773" w:firstLine="709"/>
      </w:pPr>
      <w:r>
        <w:rPr>
          <w:sz w:val="28"/>
          <w:szCs w:val="28"/>
        </w:rPr>
        <w:t xml:space="preserve">ПРИЛОЖЕНИЕ </w:t>
      </w:r>
      <w:r/>
    </w:p>
    <w:p>
      <w:pPr>
        <w:ind w:left="10773" w:firstLine="709"/>
      </w:pPr>
      <w:r>
        <w:rPr>
          <w:sz w:val="28"/>
          <w:szCs w:val="28"/>
        </w:rPr>
        <w:t xml:space="preserve">к решению</w:t>
      </w:r>
      <w:r/>
    </w:p>
    <w:p>
      <w:pPr>
        <w:ind w:left="10773" w:firstLine="709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мы</w:t>
      </w:r>
      <w:r>
        <w:rPr>
          <w:sz w:val="28"/>
          <w:szCs w:val="28"/>
        </w:rPr>
      </w:r>
    </w:p>
    <w:p>
      <w:pPr>
        <w:ind w:left="10773" w:firstLine="709"/>
      </w:pPr>
      <w:r>
        <w:rPr>
          <w:sz w:val="28"/>
          <w:szCs w:val="28"/>
        </w:rPr>
        <w:t xml:space="preserve">от 25.08.2026 № 138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СТРОКИ,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дополняющие подраздел 1 таблицы раздела </w:t>
      </w:r>
      <w:r>
        <w:rPr>
          <w:b/>
          <w:bCs/>
          <w:sz w:val="28"/>
          <w:szCs w:val="28"/>
          <w:lang w:val="en-US"/>
        </w:rPr>
        <w:t xml:space="preserve">II</w:t>
      </w:r>
      <w:r>
        <w:rPr>
          <w:b/>
          <w:bCs/>
          <w:sz w:val="28"/>
          <w:szCs w:val="28"/>
        </w:rPr>
        <w:t xml:space="preserve"> Прогнозного плана приватизации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имущества г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да Перми на 2026 год и плановый период 2027 и 2028 годов,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утвержденного</w:t>
      </w:r>
      <w:r>
        <w:rPr>
          <w:b/>
          <w:bCs/>
          <w:sz w:val="28"/>
          <w:szCs w:val="28"/>
        </w:rPr>
        <w:t xml:space="preserve"> реш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нием Пермской город</w:t>
      </w:r>
      <w:r>
        <w:rPr>
          <w:b/>
          <w:bCs/>
          <w:sz w:val="28"/>
          <w:szCs w:val="28"/>
        </w:rPr>
        <w:t xml:space="preserve">ской Д</w:t>
      </w:r>
      <w:r>
        <w:rPr>
          <w:b/>
          <w:bCs/>
          <w:sz w:val="28"/>
          <w:szCs w:val="28"/>
        </w:rPr>
        <w:t xml:space="preserve">у</w:t>
      </w:r>
      <w:r>
        <w:rPr>
          <w:b/>
          <w:bCs/>
          <w:sz w:val="28"/>
          <w:szCs w:val="28"/>
        </w:rPr>
        <w:t xml:space="preserve">мы от 18.11.2025 № 217</w:t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15026" w:type="dxa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9"/>
        <w:gridCol w:w="9527"/>
        <w:gridCol w:w="181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/>
            <w:r/>
          </w:p>
        </w:tc>
        <w:tc>
          <w:tcPr>
            <w:tcW w:w="2869" w:type="dxa"/>
            <w:textDirection w:val="lrTb"/>
            <w:noWrap w:val="false"/>
          </w:tcPr>
          <w:p>
            <w:r/>
            <w:r/>
          </w:p>
        </w:tc>
        <w:tc>
          <w:tcPr>
            <w:tcW w:w="952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Ленинский район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W w:w="286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Пермский край,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Пермь, Ленинский район, </w:t>
            </w:r>
            <w:r>
              <w:rPr>
                <w:sz w:val="28"/>
                <w:szCs w:val="28"/>
              </w:rPr>
              <w:t xml:space="preserve">ул. Куйбыш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ва, д. 11</w:t>
            </w:r>
            <w:r>
              <w:rPr>
                <w:sz w:val="28"/>
                <w:szCs w:val="28"/>
              </w:rPr>
            </w:r>
          </w:p>
        </w:tc>
        <w:tc>
          <w:tcPr>
            <w:tcW w:w="952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здание пожарного депо </w:t>
            </w:r>
            <w:r>
              <w:rPr>
                <w:sz w:val="28"/>
                <w:szCs w:val="28"/>
              </w:rPr>
              <w:t xml:space="preserve">площадью </w:t>
            </w:r>
            <w:r>
              <w:rPr>
                <w:sz w:val="28"/>
                <w:szCs w:val="28"/>
                <w:highlight w:val="white"/>
              </w:rPr>
              <w:t xml:space="preserve">924 кв. м (кадастровый номер 59:01:4410034:37), количество этажей 2-</w:t>
            </w:r>
            <w:r>
              <w:rPr>
                <w:sz w:val="28"/>
                <w:szCs w:val="28"/>
              </w:rPr>
              <w:t xml:space="preserve">3, в том числе подзем</w:t>
            </w:r>
            <w:r>
              <w:rPr>
                <w:sz w:val="28"/>
                <w:szCs w:val="28"/>
                <w:highlight w:val="white"/>
              </w:rPr>
              <w:t xml:space="preserve">ных 0. </w:t>
            </w:r>
            <w:r>
              <w:rPr>
                <w:sz w:val="28"/>
                <w:szCs w:val="28"/>
              </w:rPr>
              <w:t xml:space="preserve">Здание является объектом культурного наследия регионального значения – памя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ник «Каланча пожар</w:t>
            </w:r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ная». Здание составляет казну муниципального образ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вания город П</w:t>
            </w:r>
            <w:r>
              <w:rPr>
                <w:sz w:val="28"/>
                <w:szCs w:val="28"/>
                <w:lang w:eastAsia="en-US"/>
              </w:rPr>
              <w:t xml:space="preserve">ермь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</w:rPr>
              <w:t xml:space="preserve">продажа на </w:t>
            </w:r>
            <w:r>
              <w:rPr>
                <w:sz w:val="28"/>
                <w:szCs w:val="28"/>
                <w:highlight w:val="white"/>
              </w:rPr>
              <w:t xml:space="preserve">аукционе</w:t>
            </w:r>
            <w:r>
              <w:rPr>
                <w:highlight w:val="white"/>
              </w:rPr>
            </w:r>
          </w:p>
        </w:tc>
      </w:tr>
    </w:tbl>
    <w:p>
      <w:r/>
      <w:r/>
    </w:p>
    <w:p>
      <w:pPr>
        <w:jc w:val="both"/>
        <w:spacing w:before="720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6838" w:h="11906" w:orient="landscape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rPr>
        <w:rStyle w:val="867"/>
      </w:rPr>
      <w:framePr w:wrap="around" w:vAnchor="text" w:hAnchor="margin" w:xAlign="center" w:y="1"/>
    </w:pPr>
    <w:r>
      <w:rPr>
        <w:rStyle w:val="867"/>
      </w:rPr>
      <w:fldChar w:fldCharType="begin"/>
    </w:r>
    <w:r>
      <w:rPr>
        <w:rStyle w:val="867"/>
      </w:rPr>
      <w:instrText xml:space="preserve">PAGE  </w:instrText>
    </w:r>
    <w:r>
      <w:rPr>
        <w:rStyle w:val="867"/>
      </w:rPr>
      <w:fldChar w:fldCharType="end"/>
    </w:r>
    <w:r>
      <w:rPr>
        <w:rStyle w:val="867"/>
      </w:rPr>
    </w:r>
  </w:p>
  <w:p>
    <w:pPr>
      <w:pStyle w:val="8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6"/>
    <w:link w:val="709"/>
    <w:uiPriority w:val="10"/>
    <w:rPr>
      <w:sz w:val="48"/>
      <w:szCs w:val="48"/>
    </w:rPr>
  </w:style>
  <w:style w:type="character" w:styleId="37">
    <w:name w:val="Subtitle Char"/>
    <w:basedOn w:val="696"/>
    <w:link w:val="71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7">
    <w:name w:val="Caption Char"/>
    <w:basedOn w:val="863"/>
    <w:link w:val="866"/>
    <w:uiPriority w:val="99"/>
  </w:style>
  <w:style w:type="character" w:styleId="176">
    <w:name w:val="Footnote Text Char"/>
    <w:link w:val="846"/>
    <w:uiPriority w:val="99"/>
    <w:rPr>
      <w:sz w:val="18"/>
    </w:rPr>
  </w:style>
  <w:style w:type="character" w:styleId="179">
    <w:name w:val="Endnote Text Char"/>
    <w:link w:val="849"/>
    <w:uiPriority w:val="99"/>
    <w:rPr>
      <w:sz w:val="20"/>
    </w:rPr>
  </w:style>
  <w:style w:type="paragraph" w:styleId="686" w:default="1">
    <w:name w:val="Normal"/>
    <w:qFormat/>
  </w:style>
  <w:style w:type="paragraph" w:styleId="687">
    <w:name w:val="Heading 1"/>
    <w:basedOn w:val="686"/>
    <w:next w:val="686"/>
    <w:link w:val="699"/>
    <w:qFormat/>
    <w:pPr>
      <w:ind w:right="-1" w:firstLine="709"/>
      <w:jc w:val="both"/>
      <w:keepNext/>
      <w:outlineLvl w:val="0"/>
    </w:pPr>
    <w:rPr>
      <w:sz w:val="24"/>
    </w:rPr>
  </w:style>
  <w:style w:type="paragraph" w:styleId="688">
    <w:name w:val="Heading 2"/>
    <w:basedOn w:val="686"/>
    <w:next w:val="686"/>
    <w:link w:val="700"/>
    <w:qFormat/>
    <w:pPr>
      <w:ind w:right="-1"/>
      <w:jc w:val="both"/>
      <w:keepNext/>
      <w:outlineLvl w:val="1"/>
    </w:pPr>
    <w:rPr>
      <w:sz w:val="2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character" w:styleId="719" w:customStyle="1">
    <w:name w:val="Нижний колонтитул Знак"/>
    <w:link w:val="866"/>
    <w:uiPriority w:val="99"/>
  </w:style>
  <w:style w:type="table" w:styleId="720">
    <w:name w:val="Table Grid"/>
    <w:basedOn w:val="69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1" w:customStyle="1">
    <w:name w:val="Table Grid Light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 w:customStyle="1">
    <w:name w:val="Plain Table 1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7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6">
    <w:name w:val="footnote text"/>
    <w:basedOn w:val="68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6"/>
    <w:uiPriority w:val="99"/>
    <w:unhideWhenUsed/>
    <w:rPr>
      <w:vertAlign w:val="superscript"/>
    </w:rPr>
  </w:style>
  <w:style w:type="paragraph" w:styleId="849">
    <w:name w:val="endnote text"/>
    <w:basedOn w:val="686"/>
    <w:link w:val="850"/>
    <w:uiPriority w:val="99"/>
    <w:semiHidden/>
    <w:unhideWhenUsed/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6"/>
    <w:uiPriority w:val="99"/>
    <w:semiHidden/>
    <w:unhideWhenUsed/>
    <w:rPr>
      <w:vertAlign w:val="superscript"/>
    </w:rPr>
  </w:style>
  <w:style w:type="paragraph" w:styleId="852">
    <w:name w:val="toc 1"/>
    <w:basedOn w:val="686"/>
    <w:next w:val="686"/>
    <w:uiPriority w:val="39"/>
    <w:unhideWhenUsed/>
    <w:pPr>
      <w:spacing w:after="57"/>
    </w:pPr>
  </w:style>
  <w:style w:type="paragraph" w:styleId="853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4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5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6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7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8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9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0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6"/>
    <w:next w:val="686"/>
    <w:uiPriority w:val="99"/>
    <w:unhideWhenUsed/>
  </w:style>
  <w:style w:type="paragraph" w:styleId="863">
    <w:name w:val="Caption"/>
    <w:basedOn w:val="686"/>
    <w:next w:val="68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4">
    <w:name w:val="Body Text"/>
    <w:basedOn w:val="686"/>
    <w:link w:val="882"/>
    <w:pPr>
      <w:ind w:right="3117"/>
    </w:pPr>
    <w:rPr>
      <w:rFonts w:ascii="Courier New" w:hAnsi="Courier New"/>
      <w:sz w:val="26"/>
    </w:rPr>
  </w:style>
  <w:style w:type="paragraph" w:styleId="865">
    <w:name w:val="Body Text Indent"/>
    <w:basedOn w:val="686"/>
    <w:link w:val="881"/>
    <w:pPr>
      <w:ind w:right="-1"/>
      <w:jc w:val="both"/>
    </w:pPr>
    <w:rPr>
      <w:sz w:val="26"/>
    </w:rPr>
  </w:style>
  <w:style w:type="paragraph" w:styleId="866">
    <w:name w:val="Footer"/>
    <w:basedOn w:val="686"/>
    <w:link w:val="719"/>
    <w:pPr>
      <w:tabs>
        <w:tab w:val="center" w:pos="4153" w:leader="none"/>
        <w:tab w:val="right" w:pos="8306" w:leader="none"/>
      </w:tabs>
    </w:pPr>
  </w:style>
  <w:style w:type="character" w:styleId="867">
    <w:name w:val="page number"/>
    <w:basedOn w:val="696"/>
  </w:style>
  <w:style w:type="paragraph" w:styleId="868">
    <w:name w:val="Header"/>
    <w:basedOn w:val="686"/>
    <w:link w:val="884"/>
    <w:uiPriority w:val="99"/>
    <w:pPr>
      <w:tabs>
        <w:tab w:val="center" w:pos="4153" w:leader="none"/>
        <w:tab w:val="right" w:pos="8306" w:leader="none"/>
      </w:tabs>
    </w:pPr>
  </w:style>
  <w:style w:type="paragraph" w:styleId="869">
    <w:name w:val="Body Text 3"/>
    <w:basedOn w:val="686"/>
    <w:pPr>
      <w:spacing w:after="120"/>
    </w:pPr>
    <w:rPr>
      <w:sz w:val="16"/>
      <w:szCs w:val="16"/>
    </w:rPr>
  </w:style>
  <w:style w:type="paragraph" w:styleId="87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1" w:customStyle="1">
    <w:name w:val="ConsPlusNormal"/>
    <w:link w:val="886"/>
    <w:uiPriority w:val="99"/>
    <w:pPr>
      <w:ind w:firstLine="720"/>
      <w:widowControl w:val="off"/>
    </w:pPr>
    <w:rPr>
      <w:rFonts w:ascii="Arial" w:hAnsi="Arial" w:cs="Arial"/>
    </w:rPr>
  </w:style>
  <w:style w:type="paragraph" w:styleId="872">
    <w:name w:val="Body Text Indent 2"/>
    <w:basedOn w:val="686"/>
    <w:pPr>
      <w:ind w:left="283"/>
      <w:spacing w:after="120" w:line="480" w:lineRule="auto"/>
    </w:pPr>
  </w:style>
  <w:style w:type="paragraph" w:styleId="873" w:customStyle="1">
    <w:name w:val="ConsNormal"/>
    <w:pPr>
      <w:ind w:firstLine="720"/>
    </w:pPr>
    <w:rPr>
      <w:rFonts w:ascii="Consultant" w:hAnsi="Consultant"/>
    </w:rPr>
  </w:style>
  <w:style w:type="paragraph" w:styleId="874" w:customStyle="1">
    <w:name w:val="ConsNonformat"/>
    <w:rPr>
      <w:rFonts w:ascii="Consultant" w:hAnsi="Consultant"/>
      <w:sz w:val="16"/>
    </w:rPr>
  </w:style>
  <w:style w:type="paragraph" w:styleId="875" w:customStyle="1">
    <w:name w:val="ConsTitle"/>
    <w:rPr>
      <w:rFonts w:ascii="Arial" w:hAnsi="Arial"/>
      <w:b/>
      <w:sz w:val="14"/>
    </w:rPr>
  </w:style>
  <w:style w:type="paragraph" w:styleId="876">
    <w:name w:val="Body Text Indent 3"/>
    <w:basedOn w:val="686"/>
    <w:pPr>
      <w:ind w:left="283"/>
      <w:spacing w:after="120"/>
    </w:pPr>
    <w:rPr>
      <w:sz w:val="16"/>
      <w:szCs w:val="16"/>
    </w:rPr>
  </w:style>
  <w:style w:type="paragraph" w:styleId="877" w:customStyle="1">
    <w:name w:val="Стиль"/>
  </w:style>
  <w:style w:type="paragraph" w:styleId="87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879">
    <w:name w:val="Balloon Text"/>
    <w:basedOn w:val="686"/>
    <w:semiHidden/>
    <w:rPr>
      <w:rFonts w:ascii="Tahoma" w:hAnsi="Tahoma" w:cs="Tahoma"/>
      <w:sz w:val="16"/>
      <w:szCs w:val="16"/>
    </w:rPr>
  </w:style>
  <w:style w:type="character" w:styleId="880">
    <w:name w:val="Hyperlink"/>
    <w:basedOn w:val="696"/>
    <w:uiPriority w:val="99"/>
    <w:unhideWhenUsed/>
    <w:rPr>
      <w:color w:val="0000ff"/>
      <w:u w:val="single"/>
    </w:rPr>
  </w:style>
  <w:style w:type="character" w:styleId="881" w:customStyle="1">
    <w:name w:val="Основной текст с отступом Знак"/>
    <w:basedOn w:val="696"/>
    <w:link w:val="865"/>
    <w:rPr>
      <w:sz w:val="26"/>
    </w:rPr>
  </w:style>
  <w:style w:type="character" w:styleId="882" w:customStyle="1">
    <w:name w:val="Основной текст Знак"/>
    <w:basedOn w:val="696"/>
    <w:link w:val="864"/>
    <w:rPr>
      <w:rFonts w:ascii="Courier New" w:hAnsi="Courier New"/>
      <w:sz w:val="26"/>
    </w:rPr>
  </w:style>
  <w:style w:type="numbering" w:styleId="883" w:customStyle="1">
    <w:name w:val="Нет списка1"/>
    <w:next w:val="698"/>
    <w:uiPriority w:val="99"/>
    <w:semiHidden/>
    <w:unhideWhenUsed/>
  </w:style>
  <w:style w:type="character" w:styleId="884" w:customStyle="1">
    <w:name w:val="Верхний колонтитул Знак"/>
    <w:basedOn w:val="696"/>
    <w:link w:val="868"/>
    <w:uiPriority w:val="99"/>
  </w:style>
  <w:style w:type="paragraph" w:styleId="88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886" w:customStyle="1">
    <w:name w:val="ConsPlusNormal Знак"/>
    <w:link w:val="871"/>
    <w:rPr>
      <w:rFonts w:ascii="Arial" w:hAnsi="Arial" w:cs="Arial"/>
    </w:rPr>
  </w:style>
  <w:style w:type="paragraph" w:styleId="887">
    <w:name w:val="List Paragraph"/>
    <w:basedOn w:val="68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8">
    <w:name w:val="Body Text First Indent 2"/>
    <w:basedOn w:val="865"/>
    <w:link w:val="889"/>
    <w:pPr>
      <w:ind w:left="360" w:right="0" w:firstLine="360"/>
      <w:jc w:val="left"/>
    </w:pPr>
    <w:rPr>
      <w:sz w:val="20"/>
    </w:rPr>
  </w:style>
  <w:style w:type="character" w:styleId="889" w:customStyle="1">
    <w:name w:val="Красная строка 2 Знак"/>
    <w:basedOn w:val="881"/>
    <w:link w:val="888"/>
    <w:rPr>
      <w:sz w:val="26"/>
    </w:rPr>
  </w:style>
  <w:style w:type="paragraph" w:styleId="890">
    <w:name w:val="Plain Text"/>
    <w:basedOn w:val="686"/>
    <w:link w:val="891"/>
    <w:uiPriority w:val="99"/>
    <w:rPr>
      <w:rFonts w:ascii="Courier New" w:hAnsi="Courier New" w:eastAsia="SimSun" w:cs="Courier New"/>
      <w:lang w:eastAsia="zh-CN"/>
    </w:rPr>
  </w:style>
  <w:style w:type="character" w:styleId="891" w:customStyle="1">
    <w:name w:val="Текст Знак"/>
    <w:basedOn w:val="696"/>
    <w:link w:val="890"/>
    <w:uiPriority w:val="99"/>
    <w:rPr>
      <w:rFonts w:ascii="Courier New" w:hAnsi="Courier New" w:eastAsia="SimSun" w:cs="Courier New"/>
      <w:lang w:eastAsia="zh-CN"/>
    </w:rPr>
  </w:style>
  <w:style w:type="paragraph" w:styleId="89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893" w:customStyle="1">
    <w:name w:val="List Paragraph1"/>
    <w:basedOn w:val="686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2026-08-26T04:52:16Z</dcterms:modified>
</cp:coreProperties>
</file>