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color w:val="000000" w:themeColor="text1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8"/>
                          <a:chOff x="0" y="0"/>
                          <a:chExt cx="6285960" cy="1661758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8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903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03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03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22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22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50720"/>
                            <a:ext cx="1535400" cy="30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22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31.08.2026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000" y="1353960"/>
                            <a:ext cx="108504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22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2" o:spid="_x0000_s2" o:spt="1" type="#_x0000_t1" style="position:absolute;left:0;top:0;width:62859;height:165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903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03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03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0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22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22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2584;top:13507;width:15354;height:3078;v-text-anchor:top;visibility:visible;" filled="f" stroked="f" strokeweight="0.00pt">
                  <v:textbox inset="0,0,0,0">
                    <w:txbxContent>
                      <w:p>
                        <w:pPr>
                          <w:pStyle w:val="822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31.08.2026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49410;top:13539;width:10850;height:3078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22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4659806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6;o:allowoverlap:true;o:allowincell:true;mso-position-horizontal-relative:text;margin-left:232.0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</w:p>
    <w:p>
      <w:pPr>
        <w:pStyle w:val="878"/>
        <w:ind w:right="0"/>
        <w:jc w:val="both"/>
        <w:rPr>
          <w:rFonts w:ascii="Times New Roman" w:hAnsi="Times New Roman"/>
          <w:color w:val="000000" w:themeColor="text1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</w:p>
    <w:p>
      <w:pPr>
        <w:pStyle w:val="878"/>
        <w:ind w:right="0"/>
        <w:jc w:val="both"/>
        <w:rPr>
          <w:rFonts w:ascii="Times New Roman" w:hAnsi="Times New Roman"/>
          <w:color w:val="000000" w:themeColor="text1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</w:p>
    <w:p>
      <w:pPr>
        <w:pStyle w:val="822"/>
        <w:jc w:val="both"/>
        <w:rPr>
          <w:color w:val="000000" w:themeColor="text1"/>
          <w:sz w:val="24"/>
          <w:highlight w:val="white"/>
        </w:rPr>
      </w:pP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</w:p>
    <w:p>
      <w:pPr>
        <w:pStyle w:val="822"/>
        <w:jc w:val="both"/>
        <w:rPr>
          <w:color w:val="000000" w:themeColor="text1"/>
          <w:sz w:val="24"/>
          <w:highlight w:val="white"/>
        </w:rPr>
      </w:pP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</w:p>
    <w:p>
      <w:pPr>
        <w:pStyle w:val="822"/>
        <w:jc w:val="both"/>
        <w:rPr>
          <w:color w:val="000000" w:themeColor="text1"/>
          <w:sz w:val="24"/>
          <w:highlight w:val="white"/>
        </w:rPr>
      </w:pP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</w:p>
    <w:p>
      <w:pPr>
        <w:pStyle w:val="822"/>
        <w:jc w:val="both"/>
        <w:rPr>
          <w:color w:val="000000" w:themeColor="text1"/>
          <w:sz w:val="24"/>
          <w:highlight w:val="white"/>
        </w:rPr>
      </w:pP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</w:p>
    <w:p>
      <w:pPr>
        <w:pStyle w:val="822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jc w:val="center"/>
        <w:spacing w:line="238" w:lineRule="exact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О внесении изменений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в отдельные правовые акты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а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д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м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н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с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т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р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а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ц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и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города Перми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по вопросам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предоставления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субсидий в сфере </w:t>
        <w:br/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жилищно-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коммунального хозяйства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В </w:t>
      </w:r>
      <w:r>
        <w:rPr>
          <w:color w:val="000000" w:themeColor="text1"/>
          <w:sz w:val="28"/>
          <w:szCs w:val="28"/>
          <w:highlight w:val="none"/>
        </w:rPr>
        <w:t xml:space="preserve">соответствии с Бюджетным кодексом Российской Федерации, федеральными законами от 06 октября 2003 г. № 131-ФЗ «Об общих принци</w:t>
      </w:r>
      <w:r>
        <w:rPr>
          <w:color w:val="000000" w:themeColor="text1"/>
          <w:sz w:val="28"/>
          <w:highlight w:val="none"/>
        </w:rPr>
        <w:t xml:space="preserve">пах организации местного самоуправления в Российской Федерации», от 20 марта 2025 г. </w:t>
        <w:br/>
        <w:t xml:space="preserve">№ 33-ФЗ «Об общих принципах организации местн</w:t>
      </w:r>
      <w:r>
        <w:rPr>
          <w:color w:val="000000" w:themeColor="text1"/>
          <w:sz w:val="28"/>
          <w:highlight w:val="none"/>
        </w:rPr>
        <w:t xml:space="preserve">ого самоуправления в единой системе публичной власти», </w:t>
      </w:r>
      <w:r>
        <w:rPr>
          <w:color w:val="000000" w:themeColor="text1"/>
          <w:sz w:val="28"/>
          <w:highlight w:val="white"/>
        </w:rPr>
        <w:t xml:space="preserve">постановлением Правительства Российской Федерации от 25 октября 2023 </w:t>
      </w:r>
      <w:r>
        <w:rPr>
          <w:color w:val="000000" w:themeColor="text1"/>
          <w:sz w:val="28"/>
          <w:highlight w:val="white"/>
        </w:rPr>
        <w:t xml:space="preserve">г. № 1782 </w:t>
      </w:r>
      <w:r>
        <w:rPr>
          <w:color w:val="000000" w:themeColor="text1"/>
          <w:sz w:val="28"/>
          <w:highlight w:val="none"/>
        </w:rPr>
        <w:t xml:space="preserve">«</w:t>
      </w:r>
      <w:r>
        <w:rPr>
          <w:color w:val="000000" w:themeColor="text1"/>
          <w:sz w:val="28"/>
          <w:highlight w:val="none"/>
        </w:rPr>
        <w:t xml:space="preserve">О</w:t>
      </w:r>
      <w:r>
        <w:rPr>
          <w:color w:val="000000" w:themeColor="text1"/>
          <w:sz w:val="28"/>
          <w:highlight w:val="none"/>
        </w:rPr>
        <w:t xml:space="preserve">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</w:t>
      </w:r>
      <w:r>
        <w:rPr>
          <w:color w:val="000000" w:themeColor="text1"/>
          <w:sz w:val="28"/>
          <w:highlight w:val="none"/>
        </w:rPr>
        <w:t xml:space="preserve">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color w:val="000000" w:themeColor="text1"/>
          <w:sz w:val="28"/>
          <w:highlight w:val="none"/>
        </w:rPr>
        <w:t xml:space="preserve">», в целях актуализации нормативных правовых актов города Перми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0"/>
        <w:jc w:val="both"/>
        <w:rPr>
          <w:color w:val="000000" w:themeColor="text1"/>
          <w:highlight w:val="none"/>
        </w:rPr>
      </w:pPr>
      <w:r>
        <w:rPr>
          <w:color w:val="000000" w:themeColor="text1"/>
          <w:sz w:val="28"/>
          <w:highlight w:val="white"/>
        </w:rPr>
      </w:r>
      <w:r>
        <w:rPr>
          <w:color w:val="000000" w:themeColor="text1"/>
          <w:sz w:val="28"/>
          <w:highlight w:val="white"/>
        </w:rPr>
        <w:t xml:space="preserve">администрация города Перми ПОСТАНОВЛЯЕТ: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firstLine="720"/>
        <w:jc w:val="both"/>
        <w:rPr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1. Внести изменения в постановление администрации города Перми </w:t>
        <w:br/>
        <w:t xml:space="preserve">от 28 сентября 2023 г. № 921 «</w:t>
      </w:r>
      <w:r>
        <w:rPr>
          <w:color w:val="000000" w:themeColor="text1"/>
          <w:sz w:val="28"/>
          <w:szCs w:val="24"/>
          <w:highlight w:val="none"/>
        </w:rPr>
        <w:t xml:space="preserve">Об утверждении Порядка предоставления субсидии в сфере накопления твердых коммунальных отходов в городе Перми и Порядка отбора получателей субсидий в сфере накопления твердых коммунальных отходов в городе Перми</w:t>
      </w:r>
      <w:r>
        <w:rPr>
          <w:color w:val="000000" w:themeColor="text1"/>
          <w:sz w:val="28"/>
          <w:szCs w:val="24"/>
        </w:rPr>
        <w:t xml:space="preserve">» (в ред. от 29.11.2023 № 1345, </w:t>
      </w:r>
      <w:r>
        <w:rPr>
          <w:color w:val="000000" w:themeColor="text1"/>
          <w:sz w:val="28"/>
          <w:szCs w:val="24"/>
        </w:rPr>
        <w:t xml:space="preserve">от 15.12.2023 № 1408</w:t>
      </w:r>
      <w:r>
        <w:rPr>
          <w:color w:val="000000" w:themeColor="text1"/>
          <w:sz w:val="28"/>
          <w:szCs w:val="24"/>
          <w:highlight w:val="none"/>
        </w:rPr>
        <w:t xml:space="preserve">, </w:t>
        <w:br/>
        <w:t xml:space="preserve">от 16.02.2024 № 122, от 27.05.2024 № 399, от 18.12.2024 </w:t>
      </w:r>
      <w:r>
        <w:rPr>
          <w:color w:val="000000" w:themeColor="text1"/>
          <w:sz w:val="28"/>
          <w:szCs w:val="24"/>
          <w:highlight w:val="none"/>
        </w:rPr>
        <w:t xml:space="preserve">№ 1246, от 27.03.2025 </w:t>
        <w:br/>
        <w:t xml:space="preserve">№ 203, от 21.07.2025 № 479, от 16.10.2025 № 791, </w:t>
      </w:r>
      <w:r>
        <w:rPr>
          <w:color w:val="000000" w:themeColor="text1"/>
          <w:sz w:val="28"/>
          <w:szCs w:val="24"/>
          <w:highlight w:val="none"/>
        </w:rPr>
        <w:t xml:space="preserve">от 15.12.2025 № 1009, </w:t>
        <w:br/>
      </w:r>
      <w:r>
        <w:rPr>
          <w:color w:val="000000" w:themeColor="text1"/>
          <w:sz w:val="28"/>
          <w:szCs w:val="24"/>
          <w:highlight w:val="none"/>
        </w:rPr>
        <w:t xml:space="preserve">от </w:t>
      </w:r>
      <w:r>
        <w:rPr>
          <w:color w:val="000000" w:themeColor="text1"/>
          <w:sz w:val="28"/>
          <w:szCs w:val="24"/>
          <w:highlight w:val="none"/>
        </w:rPr>
        <w:t xml:space="preserve">21.04.2026 № 237, </w:t>
      </w:r>
      <w:r>
        <w:rPr>
          <w:color w:val="000000" w:themeColor="text1"/>
          <w:sz w:val="28"/>
          <w:szCs w:val="28"/>
          <w:highlight w:val="none"/>
        </w:rPr>
        <w:t xml:space="preserve">от 25.05.2026 № 311</w:t>
      </w:r>
      <w:r>
        <w:rPr>
          <w:color w:val="000000" w:themeColor="text1"/>
          <w:sz w:val="28"/>
          <w:szCs w:val="24"/>
          <w:highlight w:val="none"/>
        </w:rPr>
        <w:t xml:space="preserve">), изложив</w:t>
      </w:r>
      <w:r>
        <w:rPr>
          <w:color w:val="000000" w:themeColor="text1"/>
          <w:sz w:val="28"/>
          <w:szCs w:val="24"/>
          <w:highlight w:val="none"/>
        </w:rPr>
        <w:t xml:space="preserve"> наименование в следующей редакции</w:t>
      </w:r>
      <w:r>
        <w:rPr>
          <w:color w:val="000000" w:themeColor="text1"/>
          <w:sz w:val="28"/>
          <w:szCs w:val="24"/>
          <w:highlight w:val="none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highlight w:val="none"/>
        </w:rPr>
      </w:pPr>
      <w:r>
        <w:rPr>
          <w:color w:val="000000" w:themeColor="text1"/>
          <w:sz w:val="28"/>
          <w:szCs w:val="24"/>
          <w:highlight w:val="none"/>
        </w:rPr>
      </w:r>
      <w:r>
        <w:rPr>
          <w:color w:val="000000" w:themeColor="text1"/>
          <w:sz w:val="28"/>
          <w:szCs w:val="24"/>
          <w:highlight w:val="none"/>
        </w:rPr>
        <w:t xml:space="preserve">«Об утверждении Порядка предоставления субсидий в сфере накопления твердых коммунальных отходов в городе Перми и Порядка отбора получателей субсидий в сфере накопления твердых коммунальных отходов в городе Перми».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2. Утвердить прилагаемые изменения в </w:t>
      </w:r>
      <w:r>
        <w:rPr>
          <w:color w:val="000000" w:themeColor="text1"/>
          <w:sz w:val="28"/>
          <w:szCs w:val="24"/>
          <w:highlight w:val="none"/>
        </w:rPr>
        <w:t xml:space="preserve">Порядок предоставления субсидий </w:t>
        <w:br/>
        <w:t xml:space="preserve">в</w:t>
      </w:r>
      <w:r>
        <w:rPr>
          <w:color w:val="000000" w:themeColor="text1"/>
          <w:sz w:val="28"/>
          <w:szCs w:val="28"/>
          <w:highlight w:val="none"/>
        </w:rPr>
        <w:t xml:space="preserve"> сфере накопления твердых коммунальных отходов в городе Перми</w:t>
      </w:r>
      <w:r>
        <w:rPr>
          <w:color w:val="000000" w:themeColor="text1"/>
          <w:sz w:val="28"/>
          <w:szCs w:val="28"/>
          <w:highlight w:val="none"/>
        </w:rPr>
        <w:t xml:space="preserve">, утвержденный постановлением администрации города Перми от 28 сентября 2023 г. № 921 </w:t>
      </w:r>
      <w:r>
        <w:rPr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Порядка предоставления субсидии в сфере накопления твердых коммунальных отходов в городе Перми и Порядка отбора получателей субсидий </w:t>
        <w:br/>
        <w:t xml:space="preserve">в сфере накопления твердых коммунальных отходов в городе Перми</w:t>
      </w:r>
      <w:r>
        <w:rPr>
          <w:color w:val="000000" w:themeColor="text1"/>
          <w:sz w:val="28"/>
          <w:szCs w:val="28"/>
        </w:rPr>
        <w:t xml:space="preserve">» </w:t>
      </w:r>
      <w:r>
        <w:rPr>
          <w:color w:val="000000" w:themeColor="text1"/>
          <w:sz w:val="28"/>
          <w:szCs w:val="28"/>
          <w:highlight w:val="none"/>
        </w:rPr>
        <w:t xml:space="preserve">(в ред. </w:t>
        <w:br/>
        <w:t xml:space="preserve">от 29.11.2023 № 1345, от 15.12.2023 № 1408, от 16.02.2024 № 122, от 27.05.2024 </w:t>
        <w:br/>
        <w:t xml:space="preserve">№ 399, от 18.12.2024 № 1246, от 27.03.2025 № 203, </w:t>
      </w:r>
      <w:r>
        <w:rPr>
          <w:color w:val="000000" w:themeColor="text1"/>
          <w:sz w:val="28"/>
          <w:szCs w:val="28"/>
          <w:highlight w:val="none"/>
        </w:rPr>
        <w:t xml:space="preserve">от 21.07.2025 № 479,</w:t>
      </w:r>
      <w:r>
        <w:rPr>
          <w:color w:val="000000" w:themeColor="text1"/>
          <w:sz w:val="28"/>
          <w:szCs w:val="28"/>
          <w:highlight w:val="none"/>
        </w:rPr>
        <w:t xml:space="preserve"> </w:t>
        <w:br/>
      </w:r>
      <w:r>
        <w:rPr>
          <w:color w:val="000000" w:themeColor="text1"/>
          <w:sz w:val="28"/>
          <w:szCs w:val="28"/>
          <w:highlight w:val="none"/>
        </w:rPr>
        <w:t xml:space="preserve">от 16.10.2025 № 791, от 15.12.2025 № 1009, от 21.04.2026 № 237, </w:t>
      </w:r>
      <w:r>
        <w:rPr>
          <w:color w:val="000000" w:themeColor="text1"/>
          <w:sz w:val="28"/>
          <w:szCs w:val="28"/>
          <w:highlight w:val="none"/>
        </w:rPr>
        <w:t xml:space="preserve">от 25.05.2026 </w:t>
        <w:br/>
        <w:t xml:space="preserve">№ 311</w:t>
      </w:r>
      <w:r>
        <w:rPr>
          <w:color w:val="000000" w:themeColor="text1"/>
          <w:sz w:val="28"/>
          <w:szCs w:val="28"/>
          <w:highlight w:val="none"/>
        </w:rPr>
        <w:t xml:space="preserve">) (далее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– </w:t>
      </w:r>
      <w:r>
        <w:rPr>
          <w:color w:val="000000" w:themeColor="text1"/>
          <w:sz w:val="28"/>
          <w:szCs w:val="28"/>
          <w:highlight w:val="none"/>
        </w:rPr>
        <w:t xml:space="preserve">Изменения № 921)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2"/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3. Внести в </w:t>
      </w:r>
      <w:r>
        <w:rPr>
          <w:color w:val="000000" w:themeColor="text1"/>
          <w:sz w:val="28"/>
          <w:szCs w:val="28"/>
          <w:highlight w:val="none"/>
        </w:rPr>
        <w:t xml:space="preserve">Порядок отбора получателей субсидий в сфере накопления твердых коммунальных отходов в городе Перми</w:t>
      </w:r>
      <w:r>
        <w:rPr>
          <w:color w:val="000000" w:themeColor="text1"/>
          <w:sz w:val="28"/>
          <w:szCs w:val="28"/>
          <w:highlight w:val="none"/>
        </w:rPr>
        <w:t xml:space="preserve">, у</w:t>
      </w:r>
      <w:r>
        <w:rPr>
          <w:color w:val="000000" w:themeColor="text1"/>
          <w:sz w:val="28"/>
          <w:szCs w:val="28"/>
          <w:highlight w:val="none"/>
        </w:rPr>
        <w:t xml:space="preserve">твержденный постановлением </w:t>
        <w:br/>
        <w:t xml:space="preserve">администрации города Перми от 28 сентября 2023 г. № 921 </w:t>
      </w:r>
      <w:r>
        <w:rPr>
          <w:color w:val="000000" w:themeColor="text1"/>
          <w:sz w:val="28"/>
          <w:szCs w:val="28"/>
          <w:highlight w:val="none"/>
        </w:rPr>
        <w:t xml:space="preserve">«</w:t>
      </w:r>
      <w:r>
        <w:rPr>
          <w:color w:val="000000" w:themeColor="text1"/>
          <w:sz w:val="28"/>
          <w:szCs w:val="28"/>
          <w:highlight w:val="none"/>
        </w:rPr>
        <w:t xml:space="preserve">Об утверждении Порядка предоставления субсидии в сфере накопления твердых коммунальных отходов в городе Перми и Порядка отбора получателей субсидий в сфере накопления твердых коммунальных отходов в городе Перми</w:t>
      </w:r>
      <w:r>
        <w:rPr>
          <w:color w:val="000000" w:themeColor="text1"/>
          <w:sz w:val="28"/>
          <w:szCs w:val="24"/>
        </w:rPr>
        <w:t xml:space="preserve">» </w:t>
      </w:r>
      <w:r>
        <w:rPr>
          <w:color w:val="000000" w:themeColor="text1"/>
          <w:sz w:val="28"/>
          <w:szCs w:val="28"/>
          <w:highlight w:val="none"/>
        </w:rPr>
        <w:t xml:space="preserve">(в ред. от 29.11.2023 № 1345, </w:t>
        <w:br/>
        <w:t xml:space="preserve">от 15.12.2023 №</w:t>
      </w:r>
      <w:r>
        <w:rPr>
          <w:color w:val="000000" w:themeColor="text1"/>
          <w:sz w:val="28"/>
          <w:szCs w:val="28"/>
          <w:highlight w:val="none"/>
        </w:rPr>
        <w:t xml:space="preserve"> 1408, от 16.02.2024 № 122, от 27.05.2024 № 399, от 18.12.2024 </w:t>
        <w:br/>
        <w:t xml:space="preserve">№ 1246, от 27.03.2025 № 203, </w:t>
      </w:r>
      <w:r>
        <w:rPr>
          <w:color w:val="000000" w:themeColor="text1"/>
          <w:sz w:val="28"/>
          <w:szCs w:val="28"/>
          <w:highlight w:val="none"/>
        </w:rPr>
        <w:t xml:space="preserve">от 21.07.2025 № 479,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от 16.10.2025 № </w:t>
      </w:r>
      <w:r>
        <w:rPr>
          <w:color w:val="000000" w:themeColor="text1"/>
          <w:sz w:val="28"/>
          <w:szCs w:val="28"/>
          <w:highlight w:val="none"/>
        </w:rPr>
        <w:t xml:space="preserve">791, </w:t>
        <w:br/>
        <w:t xml:space="preserve">от 15.12.2025 № 1009, от 21.04.2026 № 237, </w:t>
      </w:r>
      <w:r>
        <w:rPr>
          <w:color w:val="000000" w:themeColor="text1"/>
          <w:sz w:val="28"/>
          <w:szCs w:val="28"/>
          <w:highlight w:val="none"/>
        </w:rPr>
        <w:t xml:space="preserve">от 25.05.2026 № 311</w:t>
      </w:r>
      <w:r>
        <w:rPr>
          <w:color w:val="000000" w:themeColor="text1"/>
          <w:sz w:val="28"/>
          <w:szCs w:val="28"/>
          <w:highlight w:val="none"/>
        </w:rPr>
        <w:t xml:space="preserve">), следующие изменения: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74"/>
        <w:ind w:firstLine="7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none"/>
        </w:rPr>
        <w:t xml:space="preserve">3.1. 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none"/>
        </w:rPr>
        <w:t xml:space="preserve"> абзаце третьем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none"/>
        </w:rPr>
        <w:t xml:space="preserve">пункта 3.3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none"/>
        </w:rPr>
        <w:t xml:space="preserve">слова «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none"/>
        </w:rPr>
        <w:t xml:space="preserve">, предусмотренных на благоустройство дворовых территорий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none"/>
        </w:rPr>
        <w:t xml:space="preserve">» исключить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74"/>
        <w:ind w:firstLine="7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.2. 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 абзаце первом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 пункта 6.3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 слова «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не позднее 1 рабочего дня, следующего за днем окончания срока подачи заявок, установленного в объявлении о проведении отбора получателей субсиди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и, в системе «Электронный бюджет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» зам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енить словами «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не позднее 1 рабочего дня, следующего за днем подписания протокола вскрытия заявок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в системе «Электронный бюджет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4. Внести</w:t>
      </w:r>
      <w:r>
        <w:rPr>
          <w:color w:val="000000" w:themeColor="text1"/>
          <w:sz w:val="28"/>
          <w:szCs w:val="28"/>
          <w:highlight w:val="none"/>
        </w:rPr>
        <w:t xml:space="preserve"> изменения в приложение 6 к Порядку предоставления субсидий на благоустройство придомовых территорий многоквартирных домов города Перми, утвержденному постановлением администрации города Перми от 31 августа 2012 г. № 511 </w:t>
      </w:r>
      <w:r>
        <w:rPr>
          <w:color w:val="000000" w:themeColor="text1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Порядка предоставления субсидий на благоустройство придомовых территорий многоквартирных домов города Перми и Порядка отбора получателей субсидий на благоустройство придомовых территорий многоквартирных домов города Перми» </w:t>
      </w:r>
      <w:r>
        <w:rPr>
          <w:color w:val="000000" w:themeColor="text1"/>
          <w:sz w:val="28"/>
          <w:szCs w:val="28"/>
          <w:highlight w:val="none"/>
        </w:rPr>
        <w:t xml:space="preserve">(</w:t>
      </w:r>
      <w:r>
        <w:rPr>
          <w:color w:val="000000" w:themeColor="text1"/>
          <w:sz w:val="28"/>
          <w:szCs w:val="28"/>
          <w:highlight w:val="none"/>
        </w:rPr>
        <w:t xml:space="preserve">в ред. от 30.06.2014 № 430, от 23.07.2015 № 497</w:t>
      </w:r>
      <w:r>
        <w:rPr>
          <w:color w:val="000000" w:themeColor="text1"/>
          <w:sz w:val="28"/>
          <w:szCs w:val="28"/>
          <w:highlight w:val="none"/>
        </w:rPr>
        <w:t xml:space="preserve">,</w:t>
      </w:r>
      <w:r>
        <w:rPr>
          <w:color w:val="000000" w:themeColor="text1"/>
          <w:sz w:val="28"/>
          <w:szCs w:val="28"/>
          <w:highlight w:val="none"/>
        </w:rPr>
        <w:t xml:space="preserve"> от 27.11.2015 № 990, от 06.05.2016 № 308, от 26.07.2016 № 532, </w:t>
        <w:br/>
        <w:t xml:space="preserve">от 26.08.2016 № 631, от 05.06.2017 № 444, от 12.07.2017 № 525, от 20.04.2018 </w:t>
        <w:br/>
        <w:t xml:space="preserve">№ 243, от 26.04.2019 № 133-П, от 04.03.2020 № 202, от 27.03.2020 № 285, </w:t>
        <w:br/>
        <w:t xml:space="preserve">от 02.04.2021 № 226, от 20.05.2021 № 35</w:t>
      </w:r>
      <w:r>
        <w:rPr>
          <w:color w:val="000000" w:themeColor="text1"/>
          <w:sz w:val="28"/>
          <w:szCs w:val="28"/>
          <w:highlight w:val="none"/>
        </w:rPr>
        <w:t xml:space="preserve">9,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о</w:t>
      </w:r>
      <w:r>
        <w:rPr>
          <w:color w:val="000000" w:themeColor="text1"/>
          <w:sz w:val="28"/>
          <w:szCs w:val="28"/>
          <w:highlight w:val="none"/>
        </w:rPr>
        <w:t xml:space="preserve">т 11.06.2021 № 424, от 05.03.2022 </w:t>
        <w:br/>
        <w:t xml:space="preserve">№ 148, от 12.04.2022 № 272, от 23.06.2022 № 524, от 20.12.2022 № 1326, </w:t>
        <w:br/>
        <w:t xml:space="preserve">от 13.02.2023 № 95, от 21.03.2023 № 221, от 14.04.2023 № 305, от 16.02.2024 </w:t>
        <w:br/>
        <w:t xml:space="preserve">№ 118, от 27.05.2024 № 399, от 05.12.2024 № 1185, от 17.04.2025 № 266, </w:t>
        <w:br/>
      </w:r>
      <w:r>
        <w:rPr>
          <w:color w:val="000000" w:themeColor="text1"/>
          <w:sz w:val="28"/>
          <w:szCs w:val="28"/>
          <w:highlight w:val="none"/>
        </w:rPr>
        <w:t xml:space="preserve">от 21.07.2025 № 479, от 15.12.2025 № 1009, от 21.04.2026 № 237</w:t>
      </w:r>
      <w:r>
        <w:rPr>
          <w:color w:val="000000" w:themeColor="text1"/>
          <w:sz w:val="28"/>
          <w:szCs w:val="28"/>
          <w:highlight w:val="none"/>
        </w:rPr>
        <w:t xml:space="preserve">)</w:t>
      </w:r>
      <w:r>
        <w:rPr>
          <w:color w:val="000000" w:themeColor="text1"/>
          <w:sz w:val="28"/>
          <w:szCs w:val="28"/>
          <w:highlight w:val="none"/>
        </w:rPr>
        <w:t xml:space="preserve">, изложив таблицу в редакции согласно приложению 1 к настоящему постановлению.</w:t>
      </w:r>
      <w:r/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</w:r>
      <w:r>
        <w:rPr>
          <w:color w:val="000000" w:themeColor="text1"/>
          <w:sz w:val="28"/>
          <w:szCs w:val="24"/>
          <w:highlight w:val="none"/>
        </w:rPr>
        <w:t xml:space="preserve">5</w:t>
      </w:r>
      <w:r>
        <w:rPr>
          <w:color w:val="000000" w:themeColor="text1"/>
          <w:sz w:val="28"/>
          <w:szCs w:val="24"/>
          <w:highlight w:val="none"/>
        </w:rPr>
        <w:t xml:space="preserve">.</w:t>
      </w:r>
      <w:r>
        <w:rPr>
          <w:color w:val="000000" w:themeColor="text1"/>
          <w:sz w:val="28"/>
          <w:szCs w:val="24"/>
          <w:highlight w:val="none"/>
        </w:rPr>
        <w:t xml:space="preserve"> </w:t>
      </w:r>
      <w:r>
        <w:rPr>
          <w:color w:val="000000" w:themeColor="text1"/>
          <w:sz w:val="28"/>
          <w:szCs w:val="24"/>
          <w:highlight w:val="none"/>
        </w:rPr>
        <w:t xml:space="preserve">Внести изменения в пункт 6.3 Порядка отбора получателей субсидий </w:t>
        <w:br/>
        <w:t xml:space="preserve">на благоустройство придомовых территорий многоквартирных домов города Перми, утвержденного постановлением администрации города Перми от 31 августа </w:t>
        <w:br/>
        <w:t xml:space="preserve">2012 г. № 511 «Об утверждении Порядка пред</w:t>
      </w:r>
      <w:r>
        <w:rPr>
          <w:color w:val="000000" w:themeColor="text1"/>
          <w:sz w:val="28"/>
          <w:szCs w:val="24"/>
          <w:highlight w:val="none"/>
        </w:rPr>
        <w:t xml:space="preserve">о</w:t>
      </w:r>
      <w:r>
        <w:rPr>
          <w:color w:val="000000" w:themeColor="text1"/>
          <w:sz w:val="28"/>
          <w:szCs w:val="24"/>
          <w:highlight w:val="none"/>
        </w:rPr>
        <w:t xml:space="preserve">ставления субсидий на благоустройство придомовых территорий многоквартирных домов города Перми и Порядка отбора получателей субсидий на благоустройство придомовых территорий многоквартирных домов города Перми» (в ред. от 30.06.2014 № 430, от 23.07.2015 № 4</w:t>
      </w:r>
      <w:r>
        <w:rPr>
          <w:color w:val="000000" w:themeColor="text1"/>
          <w:sz w:val="28"/>
          <w:szCs w:val="24"/>
          <w:highlight w:val="none"/>
        </w:rPr>
        <w:t xml:space="preserve">97, </w:t>
      </w:r>
      <w:r>
        <w:rPr>
          <w:color w:val="000000" w:themeColor="text1"/>
          <w:sz w:val="28"/>
          <w:szCs w:val="24"/>
          <w:highlight w:val="none"/>
        </w:rPr>
        <w:t xml:space="preserve">от 27.11.2015 № 990, от 06.05.2016 № 308, от 26.07.2016 № 532, от 26.08.2016 № 631, от 05.06.2017 № 444, от 12.07.2017 № 525, от 20.04.2018 № 243, </w:t>
        <w:br/>
        <w:t xml:space="preserve">от 26.04.2019 № 133-П, от 04.03.2020 № 202, от 27.03.2020 № 285, от 02.04.2021 </w:t>
        <w:br/>
        <w:t xml:space="preserve">№ 226, от 20.05.2021 № 359,</w:t>
      </w:r>
      <w:r>
        <w:rPr>
          <w:color w:val="000000" w:themeColor="text1"/>
          <w:sz w:val="28"/>
          <w:szCs w:val="24"/>
          <w:highlight w:val="none"/>
        </w:rPr>
        <w:t xml:space="preserve"> от </w:t>
      </w:r>
      <w:r>
        <w:rPr>
          <w:color w:val="000000" w:themeColor="text1"/>
          <w:sz w:val="28"/>
          <w:szCs w:val="24"/>
          <w:highlight w:val="none"/>
        </w:rPr>
        <w:t xml:space="preserve">11.06.2021 № 424, от 05.03.2022 № 148, </w:t>
        <w:br/>
        <w:t xml:space="preserve">от 12.04.2022 № 272, от 23.06.2022 № 524, от 20.12.2022 № 1326, от 13.02.2023 </w:t>
        <w:br/>
        <w:t xml:space="preserve">№ 95, от 21.03.2023 № 221, от 14.04.2023 № 305, от 16.02.2024 № 118, </w:t>
        <w:br/>
        <w:t xml:space="preserve">от 27.05.2024 № 399, от 05.12.2024 № 1185, от 17.04.2025 № 266, от </w:t>
      </w:r>
      <w:r>
        <w:rPr>
          <w:color w:val="000000" w:themeColor="text1"/>
          <w:sz w:val="28"/>
          <w:szCs w:val="24"/>
          <w:highlight w:val="none"/>
        </w:rPr>
        <w:t xml:space="preserve">21</w:t>
      </w:r>
      <w:r>
        <w:rPr>
          <w:color w:val="000000" w:themeColor="text1"/>
          <w:sz w:val="28"/>
          <w:szCs w:val="24"/>
          <w:highlight w:val="none"/>
        </w:rPr>
        <w:t xml:space="preserve">.07.2025 </w:t>
        <w:br/>
        <w:t xml:space="preserve">№ 479, от 15.12.2025 № 1009, от 21.04.2026 № 237), заменив в абзаце втором слова «следующего за днем окончания срока подачи заявок, установленного в объявлении о проведении отбора получателей субсидии в системе «Электронный бюджет» словами «следу</w:t>
      </w:r>
      <w:r>
        <w:rPr>
          <w:color w:val="000000" w:themeColor="text1"/>
          <w:sz w:val="28"/>
          <w:szCs w:val="24"/>
          <w:highlight w:val="none"/>
        </w:rPr>
        <w:t xml:space="preserve">ющего за днем подписания протокола вскрытия заявок в системе «Электронный бюджет».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22"/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6. Внести изменения в приложение 6 к Порядку предоставления субсидий </w:t>
        <w:br/>
        <w:t xml:space="preserve">на благоустройство дворовых территорий многоквартирных домов города Перми, утвержденному постановлением администрации города Перми от 05 мая 2017 г. № 342 «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Об утверждении Порядка предоставления субсидий на благоустройство дворовых территорий многоквартирных домов города Перми и Порядка отбора получателей субсидий на благоустройство дворовых территорий многоквартирных домов города Перми»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(в ред. от 11.08.2017 № 615, от 23.11.2017 № 1069, </w:t>
        <w:br/>
        <w:t xml:space="preserve">от 11.04.2018 № 224, от 15.06.2018 № 3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9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4, от 15.03.2019 № 163, от 14.05.2019 </w:t>
        <w:br/>
        <w:t xml:space="preserve">№ 168-П, от 10.06.2019 № 254, от 14.08.2019 № 473, от 01.10.2019 № 617, </w:t>
        <w:br/>
        <w:t xml:space="preserve">от 25.10.2019 № 796, от 09.01.2020 № 4, от 13.02.2020 № 136, от 24.04.2020 № 384, от 29.09.2020 № 905, от 22.01.2021 № 19, от 19.03.2021 № 175,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т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 21.04.2021 </w:t>
        <w:br/>
        <w:t xml:space="preserve">№ 280, от 30.08.2021 № 630, от 16.09.2021 № 710, от 13.10.2021 № 851, </w:t>
        <w:br/>
        <w:t xml:space="preserve">от 16.11.2021 № 1015, от 27.12.2021 № 1231, от 03.03.2022 № 137, от 01.06.2022 </w:t>
        <w:br/>
        <w:t xml:space="preserve">№ 432, от 20.06.2022 № 494, от 16.08.2022 № 693, от 07.09.2022 № 768, </w:t>
        <w:br/>
        <w:t xml:space="preserve">от 31.10.2022 № 1099,</w:t>
      </w:r>
      <w:r>
        <w:rPr>
          <w:color w:val="000000" w:themeColor="text1"/>
          <w:highlight w:val="none"/>
        </w:rPr>
        <w:t xml:space="preserve">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от 28.11.2022 № 1199, от 03.03.2023 № 167, от 27.03.2023 </w:t>
        <w:br/>
        <w:t xml:space="preserve">№ 239, от 21.07.2023 № 626, от 01.08.2023 № 653,</w:t>
      </w:r>
      <w:r>
        <w:rPr>
          <w:color w:val="000000" w:themeColor="text1"/>
          <w:highlight w:val="none"/>
        </w:rPr>
        <w:t xml:space="preserve">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от 24.08.2023 № 761, </w:t>
        <w:br/>
        <w:t xml:space="preserve">от 24.10.2023 № 1164, от 05.07.2024 № 569, от 21.03.2025 № 176,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от 21.07.2025 </w:t>
        <w:br/>
        <w:t xml:space="preserve">№ 479, от 12.08.2025 № 554, от 15.12.2025 № 1009, от 21.04.2026 № 237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)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, изложив таблицу в редакции согласно приложению 2 к настоящему постановлению.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7. </w:t>
      </w:r>
      <w:r>
        <w:rPr>
          <w:color w:val="000000" w:themeColor="text1"/>
          <w:sz w:val="28"/>
          <w:szCs w:val="28"/>
          <w:highlight w:val="none"/>
        </w:rPr>
        <w:t xml:space="preserve">Н</w:t>
      </w:r>
      <w:r>
        <w:rPr>
          <w:color w:val="000000" w:themeColor="text1"/>
          <w:sz w:val="28"/>
          <w:szCs w:val="28"/>
          <w:highlight w:val="none"/>
        </w:rPr>
        <w:t xml:space="preserve">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за исключением пункта 1 Изменений № 921, </w:t>
      </w:r>
      <w:r>
        <w:rPr>
          <w:color w:val="000000" w:themeColor="text1"/>
          <w:sz w:val="28"/>
          <w:szCs w:val="28"/>
          <w:highlight w:val="none"/>
        </w:rPr>
        <w:t xml:space="preserve">действие которого</w:t>
      </w:r>
      <w:r>
        <w:rPr>
          <w:color w:val="000000" w:themeColor="text1"/>
          <w:sz w:val="28"/>
          <w:szCs w:val="28"/>
          <w:highlight w:val="none"/>
        </w:rPr>
        <w:t xml:space="preserve"> распространяется на правоотношения, возникшие с 21 апреля 2026 г.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22"/>
        <w:ind w:firstLine="720"/>
        <w:jc w:val="both"/>
        <w:rPr>
          <w:color w:val="000000" w:themeColor="text1"/>
          <w:sz w:val="28"/>
          <w:szCs w:val="24"/>
          <w:highlight w:val="white"/>
        </w:rPr>
      </w:pPr>
      <w:r>
        <w:rPr>
          <w:color w:val="000000" w:themeColor="text1"/>
          <w:sz w:val="28"/>
          <w:szCs w:val="24"/>
          <w:highlight w:val="white"/>
        </w:rPr>
        <w:t xml:space="preserve">8</w:t>
      </w:r>
      <w:r>
        <w:rPr>
          <w:color w:val="000000" w:themeColor="text1"/>
          <w:sz w:val="28"/>
          <w:szCs w:val="24"/>
          <w:highlight w:val="white"/>
        </w:rPr>
        <w:t xml:space="preserve">. Управлению по общим вопр</w:t>
      </w:r>
      <w:r>
        <w:rPr>
          <w:color w:val="000000" w:themeColor="text1"/>
          <w:sz w:val="28"/>
          <w:szCs w:val="24"/>
          <w:highlight w:val="whit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4"/>
          <w:highlight w:val="white"/>
        </w:rPr>
      </w:r>
      <w:r>
        <w:rPr>
          <w:color w:val="000000" w:themeColor="text1"/>
          <w:sz w:val="28"/>
          <w:szCs w:val="24"/>
          <w:highlight w:val="white"/>
        </w:rPr>
      </w:r>
    </w:p>
    <w:p>
      <w:pPr>
        <w:pStyle w:val="822"/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4"/>
          <w:highlight w:val="white"/>
        </w:rPr>
        <w:t xml:space="preserve">9</w:t>
      </w:r>
      <w:r>
        <w:rPr>
          <w:color w:val="000000" w:themeColor="text1"/>
          <w:sz w:val="28"/>
          <w:szCs w:val="24"/>
          <w:highlight w:val="whit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4"/>
          <w:highlight w:val="non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firstLine="720"/>
        <w:jc w:val="both"/>
        <w:spacing w:line="240" w:lineRule="auto"/>
        <w:rPr>
          <w:color w:val="000000" w:themeColor="text1"/>
          <w:sz w:val="28"/>
          <w:szCs w:val="24"/>
          <w:highlight w:val="white"/>
        </w:rPr>
      </w:pPr>
      <w:r>
        <w:rPr>
          <w:color w:val="000000" w:themeColor="text1"/>
          <w:sz w:val="28"/>
          <w:szCs w:val="24"/>
          <w:highlight w:val="white"/>
          <w:lang w:eastAsia="en-US"/>
        </w:rPr>
        <w:t xml:space="preserve">10</w:t>
      </w:r>
      <w:r>
        <w:rPr>
          <w:color w:val="000000" w:themeColor="text1"/>
          <w:sz w:val="28"/>
          <w:szCs w:val="24"/>
          <w:highlight w:val="white"/>
          <w:lang w:eastAsia="en-US"/>
        </w:rPr>
        <w:t xml:space="preserve">. Контроль за исполнением настоящего постановления возложить </w:t>
        <w:br/>
        <w:t xml:space="preserve">на заместителя главы администрации города Перми Балахнина А.А.</w:t>
      </w:r>
      <w:r>
        <w:rPr>
          <w:color w:val="000000" w:themeColor="text1"/>
          <w:sz w:val="28"/>
          <w:szCs w:val="24"/>
          <w:highlight w:val="white"/>
        </w:rPr>
      </w:r>
      <w:r>
        <w:rPr>
          <w:color w:val="000000" w:themeColor="text1"/>
          <w:sz w:val="28"/>
          <w:szCs w:val="24"/>
          <w:highlight w:val="white"/>
        </w:rPr>
      </w:r>
    </w:p>
    <w:p>
      <w:pPr>
        <w:pStyle w:val="822"/>
        <w:ind w:firstLine="0"/>
        <w:jc w:val="both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0"/>
        <w:jc w:val="both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firstLine="0"/>
        <w:jc w:val="both"/>
        <w:spacing w:line="240" w:lineRule="auto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jc w:val="both"/>
        <w:spacing w:line="240" w:lineRule="auto"/>
        <w:rPr>
          <w:color w:val="000000" w:themeColor="text1"/>
          <w:sz w:val="28"/>
          <w:szCs w:val="28"/>
          <w:highlight w:val="none"/>
        </w:rPr>
      </w:pPr>
      <w:r>
        <w:rPr>
          <w:rFonts w:eastAsia="Calibri"/>
          <w:color w:val="000000" w:themeColor="text1"/>
          <w:sz w:val="28"/>
          <w:szCs w:val="28"/>
          <w:highlight w:val="white"/>
          <w:lang w:eastAsia="en-US"/>
        </w:rPr>
        <w:t xml:space="preserve">Глава города Перми                                                                                     Э.О. Сосни</w:t>
      </w:r>
      <w:r>
        <w:rPr>
          <w:color w:val="000000" w:themeColor="text1"/>
          <w:sz w:val="28"/>
          <w:szCs w:val="28"/>
          <w:highlight w:val="white"/>
        </w:rPr>
        <w:t xml:space="preserve">н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22"/>
        <w:rPr>
          <w:color w:val="000000" w:themeColor="text1"/>
          <w:sz w:val="28"/>
          <w:szCs w:val="28"/>
          <w:highlight w:val="white"/>
        </w:rPr>
        <w:sectPr>
          <w:headerReference w:type="default" r:id="rId9"/>
          <w:headerReference w:type="even" r:id="rId10"/>
          <w:footerReference w:type="default" r:id="rId15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1701" w:equalWidth="1"/>
          <w:docGrid w:linePitch="360"/>
          <w:titlePg/>
        </w:sect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УТВЕРЖДЕНЫ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постановлением администрации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от </w:t>
      </w:r>
      <w:r>
        <w:rPr>
          <w:color w:val="000000" w:themeColor="text1"/>
          <w:sz w:val="28"/>
          <w:szCs w:val="28"/>
          <w:highlight w:val="white"/>
        </w:rPr>
        <w:t xml:space="preserve">31.08.2026 № 526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jc w:val="left"/>
        <w:spacing w:line="240" w:lineRule="auto"/>
        <w:widowControl w:val="off"/>
        <w:tabs>
          <w:tab w:val="clear" w:pos="720" w:leader="none"/>
          <w:tab w:val="left" w:pos="8647" w:leader="none"/>
        </w:tabs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22"/>
        <w:jc w:val="left"/>
        <w:spacing w:line="240" w:lineRule="auto"/>
        <w:widowControl w:val="off"/>
        <w:tabs>
          <w:tab w:val="clear" w:pos="720" w:leader="none"/>
          <w:tab w:val="left" w:pos="8647" w:leader="none"/>
        </w:tabs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22"/>
        <w:jc w:val="center"/>
        <w:spacing w:line="240" w:lineRule="exact"/>
        <w:widowControl w:val="off"/>
        <w:rPr>
          <w:b/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  <w:szCs w:val="28"/>
          <w:highlight w:val="none"/>
        </w:rPr>
        <w:t xml:space="preserve">ИЗМЕНЕНИЯ</w:t>
      </w:r>
      <w:r>
        <w:rPr>
          <w:b/>
          <w:color w:val="000000" w:themeColor="text1"/>
          <w:sz w:val="28"/>
          <w:szCs w:val="28"/>
          <w:highlight w:val="none"/>
        </w:rPr>
      </w:r>
      <w:r>
        <w:rPr>
          <w:b/>
          <w:color w:val="000000" w:themeColor="text1"/>
          <w:sz w:val="28"/>
          <w:szCs w:val="28"/>
          <w:highlight w:val="none"/>
        </w:rPr>
      </w:r>
    </w:p>
    <w:p>
      <w:pPr>
        <w:pStyle w:val="822"/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  <w:szCs w:val="28"/>
          <w:highlight w:val="none"/>
        </w:rPr>
        <w:t xml:space="preserve">в </w:t>
      </w:r>
      <w:r>
        <w:rPr>
          <w:b/>
          <w:color w:val="000000" w:themeColor="text1"/>
          <w:sz w:val="28"/>
          <w:szCs w:val="28"/>
          <w:highlight w:val="none"/>
        </w:rPr>
        <w:t xml:space="preserve">Порядок предоставления субсидии в сфере накопления твердых 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  <w:szCs w:val="28"/>
          <w:highlight w:val="none"/>
        </w:rPr>
        <w:t xml:space="preserve">коммунальных отходов в городе Перми</w:t>
      </w:r>
      <w:r>
        <w:rPr>
          <w:b/>
          <w:color w:val="000000" w:themeColor="text1"/>
          <w:sz w:val="28"/>
          <w:szCs w:val="28"/>
          <w:highlight w:val="none"/>
        </w:rPr>
        <w:t xml:space="preserve">, утвержденный постановлением 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  <w:szCs w:val="28"/>
          <w:highlight w:val="none"/>
        </w:rPr>
        <w:t xml:space="preserve">администрации </w:t>
      </w:r>
      <w:r>
        <w:rPr>
          <w:b/>
          <w:color w:val="000000" w:themeColor="text1"/>
          <w:sz w:val="28"/>
          <w:szCs w:val="28"/>
          <w:highlight w:val="none"/>
        </w:rPr>
        <w:t xml:space="preserve">города Перми от 28 сентября 2023 г. № 921</w:t>
      </w:r>
      <w:r>
        <w:rPr>
          <w:b/>
          <w:bCs/>
          <w:color w:val="000000" w:themeColor="text1"/>
          <w:sz w:val="28"/>
          <w:szCs w:val="28"/>
          <w:highlight w:val="none"/>
        </w:rPr>
        <w:t xml:space="preserve"> </w:t>
      </w:r>
      <w:r>
        <w:rPr>
          <w:b/>
          <w:bCs/>
          <w:color w:val="000000" w:themeColor="text1"/>
          <w:sz w:val="28"/>
          <w:szCs w:val="24"/>
          <w:highlight w:val="none"/>
        </w:rPr>
        <w:t xml:space="preserve">«</w:t>
      </w:r>
      <w:r>
        <w:rPr>
          <w:b/>
          <w:bCs/>
          <w:color w:val="000000" w:themeColor="text1"/>
          <w:sz w:val="28"/>
          <w:szCs w:val="24"/>
          <w:highlight w:val="none"/>
        </w:rPr>
        <w:t xml:space="preserve">Об утверждении Порядка предоставления субсидии в сфере накопления твердых 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b/>
          <w:bCs/>
          <w:color w:val="000000" w:themeColor="text1"/>
          <w:sz w:val="28"/>
          <w:szCs w:val="24"/>
          <w:highlight w:val="none"/>
        </w:rPr>
        <w:t xml:space="preserve">коммунальных отходов в городе Перми и Порядка отбора получателей 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b/>
          <w:bCs/>
          <w:color w:val="000000" w:themeColor="text1"/>
          <w:sz w:val="28"/>
          <w:szCs w:val="24"/>
          <w:highlight w:val="none"/>
        </w:rPr>
        <w:t xml:space="preserve">субсидий в сфере накопления твердых коммунальных отходов 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b/>
          <w:bCs/>
          <w:color w:val="000000" w:themeColor="text1"/>
          <w:sz w:val="28"/>
          <w:szCs w:val="24"/>
          <w:highlight w:val="none"/>
        </w:rPr>
        <w:t xml:space="preserve">в городе Перми</w:t>
      </w:r>
      <w:r>
        <w:rPr>
          <w:b/>
          <w:bCs/>
          <w:color w:val="000000" w:themeColor="text1"/>
          <w:sz w:val="28"/>
          <w:szCs w:val="24"/>
        </w:rPr>
        <w:t xml:space="preserve">»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spacing w:line="240" w:lineRule="exact"/>
        <w:widowControl w:val="off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974"/>
        <w:ind w:firstLine="72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1. А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  <w:t xml:space="preserve">бзац четырнадцатый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пункта 2.4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74"/>
        <w:contextualSpacing/>
        <w:ind w:firstLine="720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  <w:t xml:space="preserve">В случае выполнения работ по о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  <w:t xml:space="preserve">бустройству контейнерной площадки системой видеонаблюдения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  <w:t xml:space="preserve"> получатель субсидии должен обеспечить подключение системы видеонаблюдения к Единой системе видеонаблюдения Пермского края в порядке, определенном Положением 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none"/>
        </w:rPr>
        <w:t xml:space="preserve">о Единой системе видеонаблюдения Пермского края, утвержденным Указом губернатора Пермского края от 30 марта </w:t>
        <w:br/>
        <w:t xml:space="preserve">2023 г. № 29 «О Единой системе видеонаблюдения Пермского края».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При этом зона обзора системы видеонаблюдения должна полностью охватывать территорию контейнерной площадки.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hd w:val="clear" w:color="ffffff" w:fill="ffffff"/>
        <w:rPr>
          <w:rFonts w:eastAsia="Calibri"/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  <w:lang w:eastAsia="en-US"/>
        </w:rPr>
        <w:t xml:space="preserve">2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. В</w:t>
      </w:r>
      <w:r>
        <w:rPr>
          <w:color w:val="000000" w:themeColor="text1"/>
          <w:sz w:val="28"/>
          <w:szCs w:val="28"/>
          <w:highlight w:val="white"/>
        </w:rPr>
        <w:t xml:space="preserve"> приложении 3 таблицу </w:t>
      </w:r>
      <w:r>
        <w:rPr>
          <w:rFonts w:eastAsia="Calibri"/>
          <w:color w:val="000000" w:themeColor="text1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eastAsia="Calibri"/>
          <w:color w:val="000000" w:themeColor="text1"/>
          <w:sz w:val="28"/>
          <w:szCs w:val="28"/>
          <w:highlight w:val="none"/>
        </w:rPr>
      </w:r>
      <w:r>
        <w:rPr>
          <w:rFonts w:eastAsia="Calibri"/>
          <w:color w:val="000000" w:themeColor="text1"/>
          <w:sz w:val="28"/>
          <w:szCs w:val="28"/>
          <w:highlight w:val="none"/>
        </w:rPr>
      </w:r>
    </w:p>
    <w:tbl>
      <w:tblPr>
        <w:tblW w:w="10063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79"/>
        <w:gridCol w:w="4806"/>
        <w:gridCol w:w="1134"/>
        <w:gridCol w:w="1134"/>
        <w:gridCol w:w="241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9" w:type="dxa"/>
            <w:vMerge w:val="restart"/>
            <w:textDirection w:val="lrTb"/>
            <w:noWrap w:val="false"/>
          </w:tcPr>
          <w:p>
            <w:pPr>
              <w:pStyle w:val="822"/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№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6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Наименование затрат при обустройстве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822"/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или содержании контейнерной площадк</w:t>
            </w:r>
            <w:r>
              <w:rPr>
                <w:sz w:val="24"/>
                <w:highlight w:val="none"/>
              </w:rPr>
              <w:t xml:space="preserve">и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22"/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Объем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Нормативная (предельная) стоимость работ </w:t>
            </w:r>
            <w:r>
              <w:rPr>
                <w:sz w:val="24"/>
                <w:highlight w:val="none"/>
              </w:rPr>
              <w:t xml:space="preserve">по обустройству или содержанию контейнерной площадки, руб.</w:t>
            </w:r>
            <w:r>
              <w:rPr>
                <w:sz w:val="24"/>
                <w:highlight w:val="none"/>
                <w:vertAlign w:val="superscript"/>
              </w:rPr>
              <w:t xml:space="preserve">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right w:w="62" w:type="dxa"/>
            </w:tcMar>
            <w:tcW w:w="579" w:type="dxa"/>
            <w:vMerge w:val="continue"/>
            <w:textDirection w:val="lrTb"/>
            <w:noWrap w:val="false"/>
          </w:tcPr>
          <w:p>
            <w:pPr>
              <w:pStyle w:val="822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right w:w="62" w:type="dxa"/>
            </w:tcMar>
            <w:tcW w:w="4806" w:type="dxa"/>
            <w:vMerge w:val="continue"/>
            <w:textDirection w:val="lrTb"/>
            <w:noWrap w:val="false"/>
          </w:tcPr>
          <w:p>
            <w:pPr>
              <w:pStyle w:val="822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22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ед. изм.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22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количество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62" w:type="dxa"/>
              <w:right w:w="62" w:type="dxa"/>
            </w:tcMar>
            <w:tcW w:w="2410" w:type="dxa"/>
            <w:vMerge w:val="continue"/>
            <w:textDirection w:val="lrTb"/>
            <w:noWrap w:val="false"/>
          </w:tcPr>
          <w:p>
            <w:pPr>
              <w:pStyle w:val="822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eastAsia="Arial" w:cs="Arial"/>
                <w:sz w:val="24"/>
                <w:szCs w:val="24"/>
              </w:rPr>
            </w:r>
            <w:r>
              <w:rPr>
                <w:rFonts w:ascii="Arial" w:hAnsi="Arial" w:eastAsia="Arial" w:cs="Arial"/>
                <w:sz w:val="24"/>
                <w:szCs w:val="24"/>
              </w:rPr>
            </w:r>
          </w:p>
        </w:tc>
      </w:tr>
    </w:tbl>
    <w:p>
      <w:pPr>
        <w:pStyle w:val="822"/>
        <w:rPr>
          <w:color w:val="000000" w:themeColor="text1"/>
          <w:sz w:val="2"/>
          <w:szCs w:val="2"/>
          <w:highlight w:val="white"/>
        </w:rPr>
      </w:pPr>
      <w:r>
        <w:rPr>
          <w:color w:val="000000" w:themeColor="text1"/>
          <w:sz w:val="2"/>
          <w:szCs w:val="2"/>
          <w:highlight w:val="white"/>
        </w:rPr>
      </w:r>
      <w:r>
        <w:rPr>
          <w:color w:val="000000" w:themeColor="text1"/>
          <w:sz w:val="2"/>
          <w:szCs w:val="2"/>
          <w:highlight w:val="white"/>
        </w:rPr>
      </w:r>
      <w:r>
        <w:rPr>
          <w:color w:val="000000" w:themeColor="text1"/>
          <w:sz w:val="2"/>
          <w:szCs w:val="2"/>
          <w:highlight w:val="white"/>
        </w:rPr>
      </w:r>
    </w:p>
    <w:tbl>
      <w:tblPr>
        <w:tblInd w:w="-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819"/>
        <w:gridCol w:w="1134"/>
        <w:gridCol w:w="1134"/>
        <w:gridCol w:w="2410"/>
      </w:tblGrid>
      <w:tr>
        <w:tblPrEx/>
        <w:trPr>
          <w:trHeight w:val="0"/>
          <w:tblHeader/>
        </w:trPr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4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highlight w:val="none"/>
              </w:rPr>
            </w:pPr>
            <w:r>
              <w:rPr>
                <w:sz w:val="24"/>
                <w:highlight w:val="no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4"/>
            <w:tcW w:w="9497" w:type="dxa"/>
            <w:textDirection w:val="lrTb"/>
            <w:noWrap w:val="false"/>
          </w:tcPr>
          <w:p>
            <w:pPr>
              <w:pStyle w:val="922"/>
              <w:rPr>
                <w:highlight w:val="none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highlight w:val="none"/>
              </w:rPr>
              <w:t xml:space="preserve">Контейнерная площадка с обустройством ограждения в виде </w:t>
            </w:r>
            <w:r>
              <w:rPr>
                <w:sz w:val="24"/>
                <w:highlight w:val="none"/>
              </w:rPr>
              <w:t xml:space="preserve">металлических декоративных панелей (реек)</w:t>
            </w:r>
            <w:r>
              <w:rPr>
                <w:sz w:val="24"/>
                <w:highlight w:val="none"/>
              </w:rPr>
              <w:t xml:space="preserve">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1072"/>
        </w:trPr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конфигурация 1:</w:t>
            </w:r>
            <w:r/>
          </w:p>
          <w:p>
            <w:pPr>
              <w:pStyle w:val="922"/>
            </w:pPr>
            <w:r>
              <w:rPr>
                <w:sz w:val="24"/>
              </w:rPr>
              <w:t xml:space="preserve">1 евроконтейнер + 1 специальная площадка для крупногабаритных отходов (далее </w:t>
            </w:r>
            <w:r>
              <w:rPr>
                <w:rFonts w:hint="default" w:ascii="Times New Roman" w:hAnsi="Times New Roman" w:eastAsia="Times New Roman" w:cs="Times New Roman"/>
                <w:sz w:val="24"/>
              </w:rPr>
              <w:t xml:space="preserve">–</w:t>
            </w:r>
            <w:r>
              <w:rPr>
                <w:sz w:val="24"/>
              </w:rPr>
              <w:t xml:space="preserve"> площадка КГМ):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178609,38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конфигурация 2:</w:t>
            </w:r>
            <w:r/>
          </w:p>
          <w:p>
            <w:pPr>
              <w:pStyle w:val="922"/>
            </w:pPr>
            <w:r>
              <w:rPr>
                <w:sz w:val="24"/>
              </w:rPr>
              <w:t xml:space="preserve">2 евроконтейнера + 1 площадка КГМ: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257991,32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конфигурация 3:</w:t>
            </w:r>
            <w:r/>
          </w:p>
          <w:p>
            <w:pPr>
              <w:pStyle w:val="922"/>
            </w:pPr>
            <w:r>
              <w:rPr>
                <w:sz w:val="24"/>
              </w:rPr>
              <w:t xml:space="preserve">3 евроконтейнера + 1 площадка КГМ: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337373,27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конфигурация 4:</w:t>
            </w:r>
            <w:r/>
          </w:p>
          <w:p>
            <w:pPr>
              <w:pStyle w:val="922"/>
            </w:pPr>
            <w:r>
              <w:rPr>
                <w:sz w:val="24"/>
              </w:rPr>
              <w:t xml:space="preserve">4 евроконтейнера + 1 площадка КГМ: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416755,21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конфигурация 5:</w:t>
            </w:r>
            <w:r/>
          </w:p>
          <w:p>
            <w:pPr>
              <w:pStyle w:val="922"/>
            </w:pPr>
            <w:r>
              <w:rPr>
                <w:sz w:val="24"/>
              </w:rPr>
              <w:t xml:space="preserve">5 евроконтейнеров + 1 площадка КГМ: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496137,16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конфигурация 6:</w:t>
            </w:r>
            <w:r/>
          </w:p>
          <w:p>
            <w:pPr>
              <w:pStyle w:val="922"/>
            </w:pPr>
            <w:r>
              <w:rPr>
                <w:sz w:val="24"/>
              </w:rPr>
              <w:t xml:space="preserve">6 евроконтейнеров + 1 площадка КГМ: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575519,10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конфигурация 7:</w:t>
            </w:r>
            <w:r/>
          </w:p>
          <w:p>
            <w:pPr>
              <w:pStyle w:val="922"/>
            </w:pPr>
            <w:r>
              <w:rPr>
                <w:sz w:val="24"/>
              </w:rPr>
              <w:t xml:space="preserve">7 евроконтейнеров + 1 площадка КГМ: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654901,05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конфигурация 8:</w:t>
            </w:r>
            <w:r/>
          </w:p>
          <w:p>
            <w:pPr>
              <w:pStyle w:val="922"/>
            </w:pPr>
            <w:r>
              <w:rPr>
                <w:sz w:val="24"/>
              </w:rPr>
              <w:t xml:space="preserve">8 евроконтейнеров + 1 площадка КГМ: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734282,99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конфигурация 9:</w:t>
            </w:r>
            <w:r/>
          </w:p>
          <w:p>
            <w:pPr>
              <w:pStyle w:val="922"/>
            </w:pPr>
            <w:r>
              <w:rPr>
                <w:sz w:val="24"/>
              </w:rPr>
              <w:t xml:space="preserve">9 евроконтейнеров + 1 площадка КГМ: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833510,42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9497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10: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10 евроконтейнеров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линейная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873201,40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П-образная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912892,37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9497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11: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11 евроконтейнеров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линейная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952583,34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П-образная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992274,31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9497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12: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12 евроконтейнеров + 1 площадка КГМ: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линейная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1031965,29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П-образная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1071656,26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vertAlign w:val="superscript"/>
              </w:rPr>
              <w:t xml:space="preserve">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gridSpan w:val="4"/>
            <w:tcW w:w="9497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Контейнерная площадка с обустройством ограждения в виде металлического каркаса </w:t>
              <w:br/>
              <w:t xml:space="preserve">со стенками из профнастила: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1: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 евроконтейнера + 1 площадка КГМ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194580,23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2: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 евроконтейнера + 1 площадка КГМ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291870,34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3: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3 евроконтейнера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389160,46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4: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4 евроконтейнера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486450,57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5: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5 евроконтейнеров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583740,68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6: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6 евроконтейнеров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681030,80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7: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7 евроконтейнеров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778320,91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8: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8 евроконтейнеров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875611,03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9: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9 евроконтейнеров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972901,14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10: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10 евроконтейнеров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1070191,26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11: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11 евроконтейнеров + 1 площадка КГМ: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1167481,37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конфигурация 12: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22"/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12 евроконтейнеров + 1 площадка КГМ: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1264771,48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highlight w:val="yellow"/>
              </w:rPr>
            </w:pPr>
            <w:r>
              <w:rPr>
                <w:sz w:val="24"/>
                <w:highlight w:val="none"/>
              </w:rPr>
              <w:t xml:space="preserve">1</w:t>
            </w:r>
            <w:r>
              <w:rPr>
                <w:sz w:val="24"/>
                <w:highlight w:val="none"/>
                <w:vertAlign w:val="superscript"/>
              </w:rPr>
              <w:t xml:space="preserve">2</w:t>
            </w:r>
            <w:r>
              <w:rPr>
                <w:sz w:val="24"/>
                <w:highlight w:val="yellow"/>
              </w:rPr>
            </w:r>
            <w:r>
              <w:rPr>
                <w:sz w:val="24"/>
                <w:highlight w:val="yellow"/>
              </w:rPr>
            </w:r>
          </w:p>
        </w:tc>
        <w:tc>
          <w:tcPr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Бункер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1</w:t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151643,19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yellow"/>
              </w:rPr>
            </w:pPr>
            <w:r>
              <w:rPr>
                <w:sz w:val="24"/>
                <w:highlight w:val="none"/>
              </w:rPr>
              <w:t xml:space="preserve">2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Устройство асфальтового покрытия подъездного пути и (или) основания с заменой основания (два слоя асфальта)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кв.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4330,84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yellow"/>
              </w:rPr>
            </w:pPr>
            <w:r>
              <w:rPr>
                <w:sz w:val="24"/>
                <w:highlight w:val="none"/>
              </w:rPr>
              <w:t xml:space="preserve">3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Устройство асфальтового покрытия подъездного пути и (или) основания с заменой основания (один слой асфальта)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кв.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3314,47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21"/>
        </w:trPr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yellow"/>
              </w:rPr>
            </w:pPr>
            <w:r>
              <w:rPr>
                <w:sz w:val="24"/>
                <w:highlight w:val="none"/>
              </w:rPr>
              <w:t xml:space="preserve">4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Устройство асфальтового покрытия подъездного пути без замены основания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кв.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2453,30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yellow"/>
              </w:rPr>
            </w:pPr>
            <w:r>
              <w:rPr>
                <w:sz w:val="24"/>
                <w:highlight w:val="none"/>
              </w:rPr>
              <w:t xml:space="preserve">5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Устройство бетонного покрытия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кв.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8214,05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402"/>
        </w:trPr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6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Установка дорожного борта покрытия </w:t>
              <w:br/>
              <w:t xml:space="preserve">и (или) основания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6838,21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7</w:t>
            </w:r>
            <w:r/>
          </w:p>
        </w:tc>
        <w:tc>
          <w:tcPr>
            <w:tcBorders>
              <w:bottom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Установка тротуарного борта покрытия </w:t>
              <w:br/>
              <w:t xml:space="preserve">и (или) основания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п. 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4519,94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none"/>
              </w:rPr>
            </w:pPr>
            <w:r>
              <w:rPr>
                <w:sz w:val="24"/>
                <w:highlight w:val="none"/>
              </w:rPr>
              <w:t xml:space="preserve">8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Установка контейнера</w:t>
            </w:r>
            <w:r>
              <w:rPr>
                <w:sz w:val="24"/>
                <w:szCs w:val="24"/>
                <w:highlight w:val="none"/>
                <w:u w:val="none"/>
                <w:vertAlign w:val="superscript"/>
              </w:rPr>
              <w:t xml:space="preserve">2</w:t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1</w:t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22312,60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 xml:space="preserve">9</w:t>
            </w:r>
            <w:r>
              <w:rPr>
                <w:sz w:val="24"/>
                <w:highlight w:val="none"/>
              </w:rPr>
            </w:r>
            <w:r>
              <w:rPr>
                <w:sz w:val="24"/>
                <w:highlight w:val="non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7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  <w:t xml:space="preserve">Обустройство систем видеонаблюдения:</w:t>
            </w:r>
            <w:r>
              <w:rPr>
                <w:sz w:val="24"/>
                <w:szCs w:val="24"/>
                <w:highlight w:val="none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камера направленная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1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48015,00 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камера поворотная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1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115246,00 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коммутатор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1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24313,00 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pPr>
              <w:pStyle w:val="922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монтаж камеры и коммутатора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услуга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z w:val="24"/>
                <w:szCs w:val="24"/>
                <w:highlight w:val="none"/>
                <w:u w:val="none"/>
                <w14:ligatures w14:val="none"/>
              </w:rPr>
            </w:pPr>
            <w:r>
              <w:rPr>
                <w:sz w:val="24"/>
                <w:szCs w:val="24"/>
                <w:highlight w:val="none"/>
                <w:u w:val="none"/>
              </w:rPr>
              <w:t xml:space="preserve">2</w:t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:u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51533,33 </w:t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</w:tc>
      </w:tr>
    </w:tbl>
    <w:p>
      <w:pPr>
        <w:pStyle w:val="822"/>
        <w:ind w:firstLine="709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22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--------------------------------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22"/>
        <w:ind w:firstLine="720"/>
        <w:jc w:val="both"/>
        <w:spacing w:before="0" w:beforeAutospacing="0" w:line="240" w:lineRule="auto"/>
        <w:rPr>
          <w:sz w:val="24"/>
          <w:szCs w:val="24"/>
          <w:highlight w:val="none"/>
        </w:rPr>
        <w:suppressLineNumbers w:val="0"/>
      </w:pPr>
      <w:r>
        <w:rPr>
          <w:highlight w:val="none"/>
        </w:rPr>
      </w:r>
      <w:bookmarkStart w:id="0" w:name="undefined"/>
      <w:r>
        <w:rPr>
          <w:highlight w:val="none"/>
        </w:rPr>
      </w:r>
      <w:bookmarkEnd w:id="0"/>
      <w:r>
        <w:rPr>
          <w:sz w:val="24"/>
          <w:highlight w:val="none"/>
          <w:vertAlign w:val="superscript"/>
        </w:rPr>
        <w:t xml:space="preserve">1</w:t>
      </w:r>
      <w:r>
        <w:rPr>
          <w:sz w:val="24"/>
          <w:highlight w:val="none"/>
        </w:rPr>
        <w:t xml:space="preserve"> </w:t>
      </w:r>
      <w:r>
        <w:rPr>
          <w:sz w:val="24"/>
          <w:highlight w:val="none"/>
        </w:rPr>
        <w:t xml:space="preserve">Нормативная (предельная) стоимость работ по обустройству или содержанию контейнерной площадки рассчитывается проектно-сметным методом</w:t>
      </w:r>
      <w:r>
        <w:rPr>
          <w:sz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22"/>
        <w:ind w:firstLine="720"/>
        <w:jc w:val="both"/>
        <w:spacing w:before="0" w:beforeAutospacing="0" w:line="240" w:lineRule="auto"/>
        <w:rPr>
          <w:sz w:val="28"/>
          <w:szCs w:val="28"/>
          <w:highlight w:val="none"/>
        </w:rPr>
        <w:suppressLineNumbers w:val="0"/>
      </w:pPr>
      <w:r>
        <w:rPr>
          <w:sz w:val="24"/>
          <w:highlight w:val="none"/>
        </w:rPr>
      </w:r>
      <w:r>
        <w:rPr>
          <w:sz w:val="24"/>
          <w:highlight w:val="none"/>
          <w:vertAlign w:val="superscript"/>
        </w:rPr>
        <w:t xml:space="preserve">2</w:t>
      </w:r>
      <w:r>
        <w:rPr>
          <w:sz w:val="24"/>
          <w:highlight w:val="none"/>
        </w:rPr>
        <w:t xml:space="preserve"> Нормативная (предельная) стоимость установки контейнера рассчитывается методом сопоставимых</w:t>
      </w:r>
      <w:r>
        <w:rPr>
          <w:sz w:val="24"/>
          <w:highlight w:val="none"/>
        </w:rPr>
        <w:t xml:space="preserve"> р</w:t>
      </w:r>
      <w:r>
        <w:rPr>
          <w:sz w:val="24"/>
          <w:highlight w:val="none"/>
        </w:rPr>
        <w:t xml:space="preserve">ыночных цен (анализа рынка).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22"/>
        <w:ind w:firstLine="540"/>
        <w:jc w:val="both"/>
        <w:spacing w:before="0" w:beforeAutospacing="0" w:line="240" w:lineRule="auto"/>
        <w:rPr>
          <w:highlight w:val="none"/>
        </w:rPr>
      </w:pPr>
      <w:r>
        <w:rPr>
          <w:sz w:val="28"/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22"/>
        <w:ind w:left="5670"/>
        <w:rPr>
          <w:color w:val="000000" w:themeColor="text1"/>
          <w:sz w:val="28"/>
          <w:szCs w:val="28"/>
          <w:highlight w:val="white"/>
        </w:rPr>
        <w:sectPr>
          <w:headerReference w:type="default" r:id="rId11"/>
          <w:headerReference w:type="first" r:id="rId12"/>
          <w:footerReference w:type="default" r:id="rId16"/>
          <w:footerReference w:type="first" r:id="rId17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Приложение 1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22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к </w:t>
      </w:r>
      <w:r>
        <w:rPr>
          <w:color w:val="000000" w:themeColor="text1"/>
          <w:sz w:val="28"/>
          <w:szCs w:val="28"/>
          <w:highlight w:val="white"/>
        </w:rPr>
        <w:t xml:space="preserve">постановлению администрации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от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31.08.2026 № 526</w:t>
      </w:r>
      <w:r/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jc w:val="center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jc w:val="center"/>
        <w:spacing w:line="240" w:lineRule="exact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22"/>
        <w:jc w:val="center"/>
        <w:spacing w:line="240" w:lineRule="exact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tbl>
      <w:tblPr>
        <w:tblW w:w="9921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1984"/>
        <w:gridCol w:w="3118"/>
        <w:gridCol w:w="991"/>
        <w:gridCol w:w="993"/>
        <w:gridCol w:w="2126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№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Наименование работ 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по благоустройству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Наименование затрат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Объем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Нормативная (предельная) стоимость 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работ </w:t>
            </w: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по благоустройству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Merge w:val="continue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continue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ед. изм.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количество</w:t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eastAsia="Calibri"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pStyle w:val="822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</w:r>
          </w:p>
        </w:tc>
      </w:tr>
    </w:tbl>
    <w:p>
      <w:pPr>
        <w:pStyle w:val="822"/>
        <w:ind w:firstLine="709"/>
        <w:jc w:val="both"/>
        <w:rPr>
          <w:color w:val="000000" w:themeColor="text1"/>
          <w:sz w:val="2"/>
          <w:szCs w:val="2"/>
          <w:highlight w:val="white"/>
        </w:rPr>
      </w:pPr>
      <w:r>
        <w:rPr>
          <w:color w:val="000000" w:themeColor="text1"/>
          <w:sz w:val="2"/>
          <w:szCs w:val="2"/>
          <w:highlight w:val="white"/>
        </w:rPr>
      </w:r>
      <w:r>
        <w:rPr>
          <w:color w:val="000000" w:themeColor="text1"/>
          <w:sz w:val="2"/>
          <w:szCs w:val="2"/>
          <w:highlight w:val="white"/>
        </w:rPr>
      </w:r>
      <w:r>
        <w:rPr>
          <w:color w:val="000000" w:themeColor="text1"/>
          <w:sz w:val="2"/>
          <w:szCs w:val="2"/>
          <w:highlight w:val="white"/>
        </w:rPr>
      </w:r>
    </w:p>
    <w:tbl>
      <w:tblPr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1984"/>
        <w:gridCol w:w="3118"/>
        <w:gridCol w:w="992"/>
        <w:gridCol w:w="992"/>
        <w:gridCol w:w="2126"/>
      </w:tblGrid>
      <w:tr>
        <w:tblPrEx/>
        <w:trPr>
          <w:tblHeader/>
        </w:trPr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4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6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gridSpan w:val="5"/>
            <w:tcW w:w="9212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Асфальтирование придомовых территорий</w:t>
            </w:r>
            <w:r>
              <w:rPr>
                <w:sz w:val="24"/>
                <w:vertAlign w:val="superscript"/>
              </w:rPr>
              <w:t xml:space="preserve">1</w:t>
            </w:r>
            <w:r/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1.1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922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асфальтирование придомовой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асфальтирование придомовой территории с заменой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</w:r>
            <w:r>
              <w:rPr>
                <w:color w:val="000000" w:themeColor="text1"/>
                <w:sz w:val="24"/>
                <w:highlight w:val="none"/>
              </w:rPr>
              <w:t xml:space="preserve">4330,84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асфальтирование придомовой территории без замены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highlight w:val="none"/>
              </w:rPr>
            </w:r>
            <w:r>
              <w:rPr>
                <w:color w:val="000000" w:themeColor="text1"/>
                <w:sz w:val="24"/>
                <w:highlight w:val="none"/>
              </w:rPr>
              <w:t xml:space="preserve">2453,30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асфальтирование придомовой территории без замены основания (на монолитном бетоне, и (или) бетонном тоннеле, и (или) канале, и (или) коллекторе сетей тепло-, водо-, электроснабжения (далее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</w:rPr>
              <w:t xml:space="preserve">–</w:t>
            </w:r>
            <w:r>
              <w:rPr>
                <w:color w:val="000000" w:themeColor="text1"/>
                <w:sz w:val="24"/>
              </w:rPr>
              <w:t xml:space="preserve"> Строительная конструкция сетей)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1893,95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дорожного борта придомовой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</w:r>
            <w:r>
              <w:rPr>
                <w:color w:val="000000" w:themeColor="text1"/>
                <w:sz w:val="24"/>
                <w:highlight w:val="none"/>
              </w:rPr>
              <w:t xml:space="preserve">6838,21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регулировка высотного положения люков придомовой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шт.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16973,64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системы водоотвода придомовой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7024,24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1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непредвиденные затраты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color w:val="000000" w:themeColor="text1"/>
                <w:sz w:val="24"/>
              </w:rPr>
              <w:t xml:space="preserve"> при асфальтировании придомовой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 более 2 % от сметной стоимости вида работ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1.2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922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асфальтирование для обустройства искусственных твердых покрытий территории мест (площадок) накопления твердых коммунальных отходов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твердых покрытий территории мест (площадок) накопления твердых коммунальных отходов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3090,83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дорожного борта территории мест (площадок) накопления твердых коммунальных отходов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</w:r>
            <w:r>
              <w:rPr>
                <w:color w:val="000000" w:themeColor="text1"/>
                <w:sz w:val="24"/>
                <w:highlight w:val="none"/>
              </w:rPr>
              <w:t xml:space="preserve">6838,21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тротуарного борта территории мест (площадок) накопления твердых коммунальных отходов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</w:r>
            <w:r>
              <w:rPr>
                <w:color w:val="000000" w:themeColor="text1"/>
                <w:sz w:val="24"/>
              </w:rPr>
              <w:t xml:space="preserve">4519,94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1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непредвиденные затраты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color w:val="000000" w:themeColor="text1"/>
                <w:sz w:val="24"/>
              </w:rPr>
              <w:t xml:space="preserve"> при асфальтировании для обустройства искусственных твердых покрытий территории мест (площадок) накопления твердых коммунальных отходов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 более 2 % от сметной стоимости вида работ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1.3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922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асфальтирование для обустройства разворотных и парковочных площадок для транспортных средств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оборудование покрытия разворотных и парковочных площадок для транспортных средств с заменой основания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кв. м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1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  <w:highlight w:val="none"/>
              </w:rPr>
            </w:r>
            <w:r>
              <w:rPr>
                <w:strike w:val="0"/>
                <w:color w:val="000000" w:themeColor="text1"/>
                <w:sz w:val="24"/>
                <w:highlight w:val="none"/>
              </w:rPr>
              <w:t xml:space="preserve">5003,70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оборудование покрытия разворотных и парковочных площадок для транспортных средств без замены основания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кв. м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1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  <w:highlight w:val="none"/>
              </w:rPr>
              <w:t xml:space="preserve">2486,25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оборудование покрытия разворотных и парковочных площадок для транспортных средств без замены основания (на монолитном бетоне и (или) Строительной конструкции сетей)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кв. м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1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  <w:highlight w:val="none"/>
              </w:rPr>
            </w:r>
            <w:r>
              <w:rPr>
                <w:strike w:val="0"/>
                <w:color w:val="000000" w:themeColor="text1"/>
                <w:sz w:val="24"/>
                <w:highlight w:val="none"/>
              </w:rPr>
              <w:t xml:space="preserve">2756,22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установка дорожного борта разворотных и парковочных площадок для транспортных средств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п. м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1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  <w:highlight w:val="none"/>
              </w:rPr>
            </w:r>
            <w:r>
              <w:rPr>
                <w:strike w:val="0"/>
                <w:color w:val="000000" w:themeColor="text1"/>
                <w:sz w:val="24"/>
                <w:highlight w:val="none"/>
              </w:rPr>
              <w:t xml:space="preserve">6838,21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регулировка высотного положения люков разворотных и парковочных площадок для транспортных средств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шт.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</w:rPr>
              <w:t xml:space="preserve">1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strike w:val="0"/>
                <w:color w:val="000000" w:themeColor="text1"/>
              </w:rPr>
            </w:pPr>
            <w:r>
              <w:rPr>
                <w:strike w:val="0"/>
                <w:color w:val="000000" w:themeColor="text1"/>
                <w:sz w:val="24"/>
                <w:highlight w:val="none"/>
              </w:rPr>
            </w:r>
            <w:r>
              <w:rPr>
                <w:strike w:val="0"/>
                <w:color w:val="000000" w:themeColor="text1"/>
                <w:sz w:val="24"/>
                <w:highlight w:val="none"/>
              </w:rPr>
              <w:t xml:space="preserve">16973,64</w:t>
            </w:r>
            <w:r>
              <w:rPr>
                <w:strike w:val="0"/>
                <w:color w:val="000000" w:themeColor="text1"/>
              </w:rPr>
            </w:r>
            <w:r>
              <w:rPr>
                <w:strike w:val="0"/>
                <w:color w:val="000000" w:themeColor="text1"/>
              </w:rPr>
            </w:r>
          </w:p>
        </w:tc>
      </w:tr>
    </w:tbl>
    <w:tbl>
      <w:tblPr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1984"/>
        <w:gridCol w:w="3118"/>
        <w:gridCol w:w="992"/>
        <w:gridCol w:w="992"/>
        <w:gridCol w:w="2126"/>
      </w:tblGrid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1.4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922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асфальтирование для обустройства тротуаров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покрытия тротуара придомовой территории с заменой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3318,67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покрытия тротуара придомовой территории без замены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2223,04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тротуара разных уровней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18519,95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дорожного борта тротуара придомовой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6838,21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тротуарного борта тротуара придомовой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</w:r>
            <w:r>
              <w:rPr>
                <w:color w:val="000000" w:themeColor="text1"/>
                <w:sz w:val="24"/>
              </w:rPr>
              <w:t xml:space="preserve">4519,94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регулировка высотного положения люков тротуара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шт.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16973,64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системы водоотвода тротуара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7024,24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1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непредвиденные затраты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sz w:val="24"/>
              </w:rPr>
              <w:t xml:space="preserve"> при асфальтировании для обустройства тротуаров</w:t>
            </w:r>
            <w:r/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не более 2 % от сметной стоимости вида работ</w:t>
            </w:r>
            <w:r/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1.5</w:t>
            </w:r>
            <w:r/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асфальтирование для установки дорожных знаков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асфальтирование для установки дорожных знаков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кв. м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4694,49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1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непредвиденные затраты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color w:val="000000" w:themeColor="text1"/>
                <w:sz w:val="24"/>
              </w:rPr>
              <w:t xml:space="preserve"> при асфальтировании для установки дорожных знаков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W w:w="3118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 более 2 % от сметной стоимости вида работ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1.6</w:t>
            </w:r>
            <w:r/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асфальтирование для установки искусственных неровностей</w:t>
            </w:r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асфальтирование для установки искусственных неровностей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5028,82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411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непредвиденные затраты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sz w:val="24"/>
              </w:rPr>
              <w:t xml:space="preserve"> при асфальтировании для установки искусственных неровностей</w:t>
            </w:r>
            <w:r/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не более 2 % от сметной стоимости вида работ</w:t>
            </w:r>
            <w:r/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Обустройство и ремонт лестниц, не являющихся объектами капитального строительства</w:t>
            </w:r>
            <w:r>
              <w:rPr>
                <w:sz w:val="24"/>
                <w:highlight w:val="white"/>
                <w:vertAlign w:val="superscript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обустройство и ремонт лестниц, не являющихся объектами капитального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т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237578,91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gridSpan w:val="5"/>
            <w:tcW w:w="9212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Установка ограждающих устройств</w:t>
            </w:r>
            <w:r>
              <w:rPr>
                <w:sz w:val="24"/>
                <w:highlight w:val="white"/>
                <w:vertAlign w:val="superscript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3.1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установка ворот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установка ворот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148007,23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3.2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установка калитки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установка калитки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п. 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29519,62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3.3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установка шлагбаума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установка шлагбаума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646161,02</w:t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3.5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установка декоративного ограждения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установка декоративного ограждения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п. 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3915,76</w:t>
            </w:r>
            <w:r>
              <w:rPr>
                <w:b/>
                <w:bCs/>
                <w:color w:val="000000" w:themeColor="text1"/>
                <w:highlight w:val="white"/>
              </w:rPr>
            </w:r>
            <w:r>
              <w:rPr>
                <w:b/>
                <w:bCs/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4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Благоустройство газонов</w:t>
            </w:r>
            <w:r>
              <w:rPr>
                <w:sz w:val="24"/>
                <w:highlight w:val="white"/>
                <w:vertAlign w:val="superscript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благоустройство газонов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кв. 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897,68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5</w:t>
            </w:r>
            <w:r/>
          </w:p>
        </w:tc>
        <w:tc>
          <w:tcPr>
            <w:gridSpan w:val="5"/>
            <w:tcW w:w="9212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Посадка, обрезка и (или) снос деревьев и кустарников</w:t>
            </w:r>
            <w:r>
              <w:rPr>
                <w:sz w:val="24"/>
                <w:highlight w:val="white"/>
                <w:vertAlign w:val="superscript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5.1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посадка деревьев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посадка деревьев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3055,61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5.2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обрезка деревьев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обрезка деревьев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8606,32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5.3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снос деревьев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снос деревьев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куб. 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5801,27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5.4</w:t>
            </w:r>
            <w:r/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посадка кустарников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посадка кустарников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2908,32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посадка кустарников в виде живой изгороди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2478,15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5.5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обрезка кустарников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обрезка кустарников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162,00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5.6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снос кустарников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снос кустарников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108,45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6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Восстановление и (или) ремонт устройств для наружного освещения придомовой территории многоквартирного дома</w:t>
            </w:r>
            <w:r>
              <w:rPr>
                <w:sz w:val="24"/>
                <w:highlight w:val="white"/>
                <w:vertAlign w:val="superscript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восстановление и (или) ремонт устройств для наружного освещения придомовой территории многоквартирного дома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70336,97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7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Обустройство велосипедных парковок</w:t>
            </w:r>
            <w:r>
              <w:rPr>
                <w:sz w:val="24"/>
                <w:highlight w:val="white"/>
                <w:vertAlign w:val="superscript"/>
              </w:rP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обустройство велосипедных парковок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17133,33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8</w:t>
            </w:r>
            <w:r/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Корчевка пней</w:t>
            </w:r>
            <w:r>
              <w:rPr>
                <w:sz w:val="24"/>
                <w:highlight w:val="white"/>
                <w:vertAlign w:val="superscript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корчевка пней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4"/>
                <w:highlight w:val="white"/>
              </w:rPr>
              <w:t xml:space="preserve">8158,52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9</w:t>
            </w:r>
            <w:r/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922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Обустройство систем видеонаблюдения придомовой территории многоквартирного дома</w:t>
            </w:r>
            <w:r>
              <w:rPr>
                <w:sz w:val="24"/>
                <w:highlight w:val="white"/>
                <w:vertAlign w:val="superscript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камера направленная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48015,00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камера поворотная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115246,00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коммутатор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шт.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24313,00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118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монтаж камеры и коммутатора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услуга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22"/>
              <w:jc w:val="center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51533,33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14:ligatures w14:val="none"/>
              </w:rPr>
            </w:r>
          </w:p>
        </w:tc>
      </w:tr>
    </w:tbl>
    <w:p>
      <w:pPr>
        <w:pStyle w:val="822"/>
        <w:jc w:val="left"/>
        <w:spacing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numPr>
          <w:ilvl w:val="0"/>
          <w:numId w:val="0"/>
        </w:numPr>
        <w:jc w:val="both"/>
        <w:spacing w:line="240" w:lineRule="auto"/>
        <w:rPr>
          <w:b w:val="0"/>
          <w:bCs w:val="0"/>
          <w:sz w:val="28"/>
          <w:szCs w:val="28"/>
          <w:highlight w:val="white"/>
        </w:rPr>
        <w:outlineLvl w:val="0"/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822"/>
        <w:numPr>
          <w:ilvl w:val="0"/>
          <w:numId w:val="0"/>
        </w:numPr>
        <w:jc w:val="both"/>
        <w:spacing w:line="240" w:lineRule="auto"/>
        <w:rPr>
          <w:sz w:val="20"/>
          <w:szCs w:val="20"/>
          <w:highlight w:val="none"/>
        </w:rPr>
        <w:outlineLvl w:val="0"/>
      </w:pPr>
      <w:r>
        <w:rPr>
          <w:b w:val="0"/>
          <w:bCs w:val="0"/>
          <w:sz w:val="20"/>
          <w:szCs w:val="20"/>
          <w:highlight w:val="white"/>
        </w:rPr>
        <w:t xml:space="preserve">-------------------------------------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22"/>
        <w:ind w:firstLine="720"/>
        <w:jc w:val="both"/>
        <w:widowControl w:val="off"/>
        <w:rPr>
          <w:sz w:val="24"/>
          <w:szCs w:val="24"/>
          <w:highlight w:val="white"/>
        </w:rPr>
        <w:suppressLineNumbers w:val="0"/>
      </w:pPr>
      <w:r>
        <w:rPr>
          <w:sz w:val="24"/>
          <w:szCs w:val="24"/>
          <w:highlight w:val="white"/>
          <w:vertAlign w:val="superscript"/>
        </w:rPr>
      </w:r>
      <w:r>
        <w:rPr>
          <w:sz w:val="24"/>
          <w:highlight w:val="white"/>
          <w:vertAlign w:val="superscript"/>
        </w:rPr>
        <w:t xml:space="preserve">1</w:t>
      </w:r>
      <w:r>
        <w:rPr>
          <w:sz w:val="24"/>
          <w:szCs w:val="24"/>
          <w:highlight w:val="white"/>
        </w:rPr>
        <w:t xml:space="preserve"> Нормативная (предельная) стоимость работ по благоустройству придомовых территорий рассчитывается проектно-сметным методом.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822"/>
        <w:contextualSpacing w:val="0"/>
        <w:ind w:firstLine="720"/>
        <w:jc w:val="both"/>
        <w:widowControl/>
        <w:rPr>
          <w:sz w:val="24"/>
          <w:szCs w:val="24"/>
          <w:highlight w:val="white"/>
        </w:rPr>
        <w:suppressLineNumbers w:val="0"/>
      </w:pPr>
      <w:r>
        <w:rPr>
          <w:sz w:val="24"/>
          <w:szCs w:val="24"/>
          <w:highlight w:val="white"/>
          <w:vertAlign w:val="superscript"/>
        </w:rPr>
      </w:r>
      <w:r>
        <w:rPr>
          <w:sz w:val="24"/>
          <w:highlight w:val="white"/>
          <w:vertAlign w:val="superscript"/>
        </w:rPr>
        <w:t xml:space="preserve">2</w:t>
      </w:r>
      <w:r>
        <w:rPr>
          <w:sz w:val="24"/>
          <w:szCs w:val="24"/>
          <w:highlight w:val="white"/>
        </w:rPr>
        <w:t xml:space="preserve"> Под непредвиденными затратами понимается возможность превышения предельной нормативной стоимости работ по благоустройству, уст</w:t>
      </w:r>
      <w:r>
        <w:rPr>
          <w:sz w:val="24"/>
          <w:szCs w:val="24"/>
          <w:highlight w:val="white"/>
        </w:rPr>
        <w:t xml:space="preserve">ановленной Порядком предоставления субсидий на </w:t>
      </w:r>
      <w:r>
        <w:rPr>
          <w:sz w:val="24"/>
          <w:szCs w:val="24"/>
          <w:highlight w:val="white"/>
        </w:rPr>
        <w:t xml:space="preserve">благоустройство придомовых территорий многоквартирных домов города Перми, утвержденным постановлением администрации города Перми от 31 августа 2012 г. № 511 (далее – Порядок), в случае осуществления затрат на выполнение работ, не предусмотренных Порядком, </w:t>
      </w:r>
      <w:r>
        <w:rPr>
          <w:sz w:val="24"/>
          <w:szCs w:val="24"/>
          <w:highlight w:val="white"/>
        </w:rPr>
        <w:t xml:space="preserve">носящих непредвиденный характер с учетом конструктивных особенностей местности, потребность в которых возникла в процессе разработки локально-сметного расчета и (или) дизайн-проекта и (или) в ходе проведения работ по благоустройству придомовой территории.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20"/>
        <w:shd w:val="nil" w:color="auto"/>
        <w:rPr>
          <w:sz w:val="24"/>
          <w:szCs w:val="24"/>
          <w:highlight w:val="white"/>
          <w14:ligatures w14:val="none"/>
        </w:rPr>
        <w:suppressLineNumbers w:val="0"/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  <w:vertAlign w:val="superscript"/>
        </w:rPr>
        <w:t xml:space="preserve">3</w:t>
      </w:r>
      <w:r>
        <w:rPr>
          <w:sz w:val="24"/>
          <w:szCs w:val="24"/>
          <w:highlight w:val="white"/>
        </w:rPr>
        <w:t xml:space="preserve"> Нормативна</w:t>
      </w:r>
      <w:r>
        <w:rPr>
          <w:sz w:val="24"/>
          <w:szCs w:val="24"/>
          <w:highlight w:val="white"/>
        </w:rPr>
        <w:t xml:space="preserve">я (предельная) стоимость работ по благоустройству придомовых территорий рассчитывается методом сопоставимых рыночных цен (анализа рын</w:t>
      </w:r>
      <w:r>
        <w:rPr>
          <w:sz w:val="24"/>
          <w:szCs w:val="24"/>
          <w:highlight w:val="white"/>
        </w:rPr>
        <w:t xml:space="preserve">ка).</w:t>
      </w:r>
      <w:r>
        <w:rPr>
          <w:sz w:val="24"/>
          <w:szCs w:val="24"/>
          <w:highlight w:val="white"/>
          <w14:ligatures w14:val="none"/>
        </w:rPr>
      </w:r>
      <w:r>
        <w:rPr>
          <w:sz w:val="24"/>
          <w:szCs w:val="24"/>
          <w:highlight w:val="white"/>
          <w14:ligatures w14:val="none"/>
        </w:rPr>
      </w:r>
    </w:p>
    <w:p>
      <w:pPr>
        <w:pStyle w:val="822"/>
        <w:ind w:firstLine="720"/>
        <w:jc w:val="both"/>
        <w:widowControl w:val="off"/>
        <w:rPr>
          <w:sz w:val="24"/>
          <w:szCs w:val="24"/>
          <w:highlight w:val="white"/>
        </w:rPr>
        <w:suppressLineNumbers w:val="0"/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822"/>
        <w:jc w:val="left"/>
        <w:spacing w:line="240" w:lineRule="exact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jc w:val="center"/>
        <w:spacing w:line="240" w:lineRule="exact"/>
        <w:widowControl w:val="off"/>
        <w:rPr>
          <w:color w:val="000000" w:themeColor="text1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283" w:left="1417" w:header="363" w:footer="709" w:gutter="0"/>
          <w:pgNumType w:start="1"/>
          <w:cols w:num="1" w:sep="0" w:space="1701" w:equalWidth="1"/>
          <w:docGrid w:linePitch="360"/>
          <w:titlePg/>
        </w:sect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none"/>
        </w:rPr>
        <w:t xml:space="preserve">Приложение 2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к </w:t>
      </w:r>
      <w:r>
        <w:rPr>
          <w:color w:val="000000" w:themeColor="text1"/>
          <w:sz w:val="28"/>
          <w:szCs w:val="28"/>
          <w:highlight w:val="white"/>
        </w:rPr>
        <w:t xml:space="preserve">постановлению администрации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от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31.08.2026 № 526</w:t>
      </w:r>
      <w:r/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822"/>
        <w:jc w:val="left"/>
        <w:spacing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jc w:val="left"/>
        <w:spacing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822"/>
        <w:jc w:val="left"/>
        <w:spacing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tbl>
      <w:tblPr>
        <w:tblW w:w="10063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3543"/>
        <w:gridCol w:w="850"/>
        <w:gridCol w:w="851"/>
        <w:gridCol w:w="255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822"/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№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822"/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Наименование работ по благоустройству дворовых территорий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Merge w:val="restart"/>
            <w:textDirection w:val="lrTb"/>
            <w:noWrap w:val="false"/>
          </w:tcPr>
          <w:p>
            <w:pPr>
              <w:pStyle w:val="822"/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Наименование затрат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22"/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Объем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pStyle w:val="822"/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Нормативная (предельная) стоимость работ по благоустройству дворовых территорий, руб.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822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Style w:val="822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Merge w:val="continue"/>
            <w:textDirection w:val="lrTb"/>
            <w:noWrap w:val="false"/>
          </w:tcPr>
          <w:p>
            <w:pPr>
              <w:pStyle w:val="822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822"/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ед. изм.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Style w:val="822"/>
              <w:jc w:val="center"/>
              <w:widowControl w:val="off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количество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continue"/>
            <w:textDirection w:val="lrTb"/>
            <w:noWrap w:val="false"/>
          </w:tcPr>
          <w:p>
            <w:pPr>
              <w:pStyle w:val="822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22"/>
        <w:jc w:val="both"/>
        <w:rPr>
          <w:color w:val="000000" w:themeColor="text1"/>
          <w:sz w:val="2"/>
          <w:szCs w:val="2"/>
          <w:highlight w:val="white"/>
        </w:rPr>
      </w:pPr>
      <w:r>
        <w:rPr>
          <w:color w:val="000000" w:themeColor="text1"/>
          <w:sz w:val="2"/>
          <w:szCs w:val="2"/>
          <w:highlight w:val="white"/>
        </w:rPr>
      </w:r>
      <w:r>
        <w:rPr>
          <w:color w:val="000000" w:themeColor="text1"/>
          <w:sz w:val="2"/>
          <w:szCs w:val="2"/>
          <w:highlight w:val="white"/>
        </w:rPr>
      </w:r>
      <w:r>
        <w:rPr>
          <w:color w:val="000000" w:themeColor="text1"/>
          <w:sz w:val="2"/>
          <w:szCs w:val="2"/>
          <w:highlight w:val="white"/>
        </w:rPr>
      </w:r>
    </w:p>
    <w:tbl>
      <w:tblPr>
        <w:tblInd w:w="-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3543"/>
        <w:gridCol w:w="850"/>
        <w:gridCol w:w="850"/>
        <w:gridCol w:w="2551"/>
      </w:tblGrid>
      <w:tr>
        <w:tblPrEx/>
        <w:trPr>
          <w:tblHeader/>
        </w:trPr>
        <w:tc>
          <w:tcPr>
            <w:tcW w:w="567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43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vAlign w:val="center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922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Ремонт дворовых проездов</w:t>
            </w:r>
            <w:r>
              <w:rPr>
                <w:sz w:val="24"/>
                <w:vertAlign w:val="superscript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ремонт покрытия дворового проезда с заменой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4330,84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ремонт покрытия дворового проезда без замены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2453,30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</w:rPr>
              <w:t xml:space="preserve">ремонт покрытия дворового проезда без замены основания (на монолитном бетоне и (или) бетонном тоннеле, и (или) канале, и (или) коллекторе сетей тепло-, водо-, электроснабжения (далее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</w:rPr>
              <w:t xml:space="preserve">–</w:t>
            </w:r>
            <w:r>
              <w:rPr>
                <w:color w:val="000000" w:themeColor="text1"/>
                <w:sz w:val="24"/>
              </w:rPr>
              <w:t xml:space="preserve"> Строительная конструкция сетей)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1893,95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дорожного борта дворового проезда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6838,21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регулировка высотного положения люков дворового проезда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шт.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16973,64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системы водоотвода дворового проезда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7024,24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непредвиденные затраты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color w:val="000000" w:themeColor="text1"/>
                <w:sz w:val="24"/>
              </w:rPr>
              <w:t xml:space="preserve"> при ремонте дворовых проездов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W w:w="425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 более 2 % от сметной стоимости вида работ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2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Обеспечение освещения дворовых территорий</w:t>
            </w:r>
            <w:r>
              <w:rPr>
                <w:sz w:val="24"/>
                <w:vertAlign w:val="superscript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обеспечение освещения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шт.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70336,97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2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скамеек</w:t>
            </w:r>
            <w:r>
              <w:rPr>
                <w:sz w:val="24"/>
                <w:vertAlign w:val="superscript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скамеек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шт.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21190,33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2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sz w:val="24"/>
              </w:rPr>
              <w:t xml:space="preserve">Установка урн</w:t>
            </w:r>
            <w:r>
              <w:rPr>
                <w:sz w:val="24"/>
                <w:vertAlign w:val="superscript"/>
              </w:rPr>
              <w:t xml:space="preserve">3</w:t>
            </w:r>
            <w:r>
              <w:rPr>
                <w:color w:val="000000" w:themeColor="text1"/>
                <w:vertAlign w:val="superscript"/>
              </w:rPr>
            </w:r>
            <w:r>
              <w:rPr>
                <w:color w:val="000000" w:themeColor="text1"/>
                <w:vertAlign w:val="superscript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урн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шт.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3900,90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922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Оборудование автомобильных парковок</w:t>
            </w:r>
            <w:r>
              <w:rPr>
                <w:sz w:val="24"/>
                <w:vertAlign w:val="superscript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оборудование покрытия автомобильных парковок с заменой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5003,70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оборудование покрытия автомобильных парковок без замены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2486,25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оборудование покрытия автомобильных парковок без замены основания (на монолитном бетоне и (или) Строительной конструкции сетей)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2756,22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дорожного борта автомобильных парковок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6838,21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</w:rPr>
              <w:t xml:space="preserve">регулировка высотного положения люков автомобильных парковок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шт.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16973,64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системы водоотвода автомобильных парковок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7024,24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bottom w:val="non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непредвиденные затраты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color w:val="000000" w:themeColor="text1"/>
                <w:sz w:val="24"/>
                <w:vertAlign w:val="superscript"/>
              </w:rPr>
              <w:t xml:space="preserve"> </w:t>
            </w:r>
            <w:r>
              <w:rPr>
                <w:color w:val="000000" w:themeColor="text1"/>
                <w:sz w:val="24"/>
              </w:rPr>
              <w:t xml:space="preserve">при оборудовании автомобильных парковок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Borders>
              <w:bottom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не более 2 % от сметной стоимости вида работ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non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922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тротуаров дворовых территорий</w:t>
            </w:r>
            <w:r>
              <w:rPr>
                <w:sz w:val="24"/>
                <w:vertAlign w:val="superscript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покрытия тротуара дворовой территории с заменой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3318,67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покрытия тротуара дворовой территории без замены основания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2223,04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тротуара разных уровней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кв.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18519,95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дорожного борта тротуара дворовой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6838,21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установка тротуарного борта тротуара дворовой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4519,94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регулировка высотного положения люков тротуара дворовой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шт.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16973,64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устройство системы водоотвода тротуара дворовой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п.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7024,24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непредвиденные затраты</w:t>
            </w:r>
            <w:r>
              <w:rPr>
                <w:sz w:val="24"/>
                <w:vertAlign w:val="superscript"/>
              </w:rPr>
              <w:t xml:space="preserve">2</w:t>
            </w:r>
            <w:r>
              <w:rPr>
                <w:sz w:val="24"/>
                <w:vertAlign w:val="baseline"/>
              </w:rPr>
              <w:t xml:space="preserve"> </w:t>
            </w:r>
            <w:r>
              <w:rPr>
                <w:sz w:val="24"/>
              </w:rPr>
              <w:t xml:space="preserve">при устройстве тротуаров дворовых территорий</w:t>
            </w:r>
            <w:r/>
          </w:p>
        </w:tc>
        <w:tc>
          <w:tcPr>
            <w:gridSpan w:val="3"/>
            <w:tcBorders>
              <w:bottom w:val="non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не более 2 % от сметной стоимости вида работ</w:t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7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2"/>
              <w:rPr>
                <w:vertAlign w:val="superscript"/>
              </w:rPr>
            </w:pPr>
            <w:r>
              <w:rPr>
                <w:sz w:val="24"/>
              </w:rPr>
              <w:t xml:space="preserve">Установка беседок</w:t>
            </w:r>
            <w:r>
              <w:rPr>
                <w:sz w:val="24"/>
                <w:vertAlign w:val="superscript"/>
              </w:rPr>
              <w:t xml:space="preserve">3</w: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установка беседки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548916,67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8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2"/>
              <w:rPr>
                <w:vertAlign w:val="superscript"/>
              </w:rPr>
            </w:pPr>
            <w:r>
              <w:rPr>
                <w:sz w:val="24"/>
              </w:rPr>
              <w:t xml:space="preserve">Установка навесов</w:t>
            </w:r>
            <w:r>
              <w:rPr>
                <w:sz w:val="24"/>
                <w:vertAlign w:val="superscript"/>
              </w:rPr>
              <w:t xml:space="preserve">3</w: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установка навеса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  <w:sz w:val="24"/>
                <w:highlight w:val="none"/>
              </w:rPr>
              <w:t xml:space="preserve">860666,67</w:t>
            </w: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9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Установка декоративных мостиков</w:t>
            </w:r>
            <w:r>
              <w:rPr>
                <w:sz w:val="24"/>
                <w:vertAlign w:val="superscript"/>
              </w:rPr>
              <w:t xml:space="preserve">3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установка декоративного мостика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219666,67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10</w:t>
            </w:r>
            <w:r/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Организация детских игровых площадок</w:t>
            </w:r>
            <w:r>
              <w:rPr>
                <w:sz w:val="24"/>
                <w:vertAlign w:val="superscript"/>
              </w:rPr>
              <w:t xml:space="preserve">3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установка детской игровой площадки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площадка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649416,67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установка инклюзивной детской игровой площадки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площадка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1675026,67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устройство мягкого резинового и (или) мягкого синтетического покрытия детской игровой площадки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кв. м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15333,33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устройство песчаного покрытия детской игровой площадки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кв. м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3750,00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59"/>
        </w:trPr>
        <w:tc>
          <w:tcPr>
            <w:tcBorders>
              <w:bottom w:val="non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11</w:t>
            </w:r>
            <w:r/>
          </w:p>
        </w:tc>
        <w:tc>
          <w:tcPr>
            <w:tcBorders>
              <w:bottom w:val="non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Style w:val="922"/>
            </w:pPr>
            <w:r>
              <w:rPr>
                <w:sz w:val="24"/>
              </w:rPr>
              <w:t xml:space="preserve">Организация детских спортивных площадок</w:t>
            </w:r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установка детской спортивной площадки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площадка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756893,33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0"/>
        </w:trPr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установка инклюзивной детской спортивной площадки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площадка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665693,33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устройство мягкого резинового и (или) мягкого синтетического покрытия детской спортивной площадки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кв. м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15333,33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none" w:color="000000" w:sz="4" w:space="0"/>
            </w:tcBorders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устройство песчаного покрытия детской спортивной площадки</w:t>
            </w:r>
            <w:r/>
          </w:p>
        </w:tc>
        <w:tc>
          <w:tcPr>
            <w:tcBorders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кв. м</w:t>
            </w:r>
            <w:r/>
          </w:p>
        </w:tc>
        <w:tc>
          <w:tcPr>
            <w:tcBorders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Borders>
              <w:bottom w:val="non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3750,00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12</w:t>
            </w:r>
            <w:r/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922"/>
              <w:rPr>
                <w:vertAlign w:val="superscript"/>
              </w:rPr>
            </w:pPr>
            <w:r>
              <w:rPr>
                <w:sz w:val="24"/>
              </w:rPr>
              <w:t xml:space="preserve">Озеленение</w:t>
            </w:r>
            <w:r>
              <w:rPr>
                <w:sz w:val="24"/>
                <w:vertAlign w:val="superscript"/>
              </w:rPr>
              <w:t xml:space="preserve">1</w: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посадка деревьев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3055,61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посадка кустарников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2908,32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обустройство газона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кв. м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897,68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обустройство цветника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кв. м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7002,91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  <w:rPr>
                <w:color w:val="ff0000"/>
              </w:rPr>
            </w:pPr>
            <w:r>
              <w:rPr>
                <w:sz w:val="24"/>
              </w:rPr>
              <w:t xml:space="preserve">создание вертикального озеленения (с использованием вазона) 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вазон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22215,96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13</w:t>
            </w:r>
            <w:r/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922"/>
              <w:rPr>
                <w:vertAlign w:val="superscript"/>
              </w:rPr>
            </w:pPr>
            <w:r>
              <w:rPr>
                <w:sz w:val="24"/>
              </w:rPr>
              <w:t xml:space="preserve">Кронирование</w:t>
            </w:r>
            <w:r>
              <w:rPr>
                <w:sz w:val="24"/>
                <w:vertAlign w:val="superscript"/>
              </w:rPr>
              <w:t xml:space="preserve">1</w:t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обрезка деревьев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8606,32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543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обрезка кустарников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шт.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pStyle w:val="922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highlight w:val="none"/>
              </w:rPr>
              <w:t xml:space="preserve">162,00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pStyle w:val="822"/>
        <w:jc w:val="both"/>
        <w:widowControl w:val="off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  <w:r>
        <w:rPr>
          <w:color w:val="000000" w:themeColor="text1"/>
          <w:sz w:val="24"/>
          <w:szCs w:val="24"/>
          <w:highlight w:val="white"/>
        </w:rPr>
      </w:r>
    </w:p>
    <w:p>
      <w:pPr>
        <w:pStyle w:val="922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/>
          <w:sz w:val="24"/>
          <w:szCs w:val="24"/>
          <w:highlight w:val="white"/>
        </w:rPr>
        <w:t xml:space="preserve">--------------------------------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2"/>
        <w:ind w:firstLine="720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/>
          <w:sz w:val="24"/>
          <w:szCs w:val="24"/>
          <w:highlight w:val="white"/>
        </w:rPr>
      </w:r>
      <w:r>
        <w:rPr>
          <w:sz w:val="24"/>
          <w:vertAlign w:val="superscript"/>
        </w:rPr>
        <w:t xml:space="preserve">1</w:t>
      </w:r>
      <w:r>
        <w:rPr>
          <w:rFonts w:cs="Times New Roman"/>
          <w:sz w:val="24"/>
          <w:szCs w:val="24"/>
          <w:highlight w:val="white"/>
        </w:rPr>
        <w:t xml:space="preserve"> Нормативная (предельная) стоимость работ по благоустройству дворовых территорий рассчитывается проектно-сметным методом.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2"/>
        <w:ind w:firstLine="720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/>
          <w:sz w:val="24"/>
          <w:szCs w:val="24"/>
          <w:highlight w:val="white"/>
          <w:vertAlign w:val="superscript"/>
        </w:rPr>
      </w:r>
      <w:r>
        <w:rPr>
          <w:sz w:val="24"/>
          <w:vertAlign w:val="superscript"/>
        </w:rPr>
        <w:t xml:space="preserve">2</w:t>
      </w:r>
      <w:r>
        <w:rPr>
          <w:rFonts w:cs="Times New Roman"/>
          <w:sz w:val="24"/>
          <w:szCs w:val="24"/>
          <w:highlight w:val="white"/>
        </w:rPr>
        <w:t xml:space="preserve"> Под непредвиденными затратами понимается возможность превышения предельной нормативной стоимости работ по благоустройству, установленной Порядком предоставления суб</w:t>
      </w:r>
      <w:r>
        <w:rPr>
          <w:rFonts w:cs="Times New Roman"/>
          <w:sz w:val="24"/>
          <w:szCs w:val="24"/>
          <w:highlight w:val="white"/>
        </w:rPr>
        <w:t xml:space="preserve">сидий на благоустройство дворовых территорий многоквартирных домов города Перми, утвержденным постановлением администрации города Перми от 05 мая 2017 г. № 342 (далее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</w:rPr>
        <w:t xml:space="preserve">–</w:t>
      </w:r>
      <w:r>
        <w:rPr>
          <w:rFonts w:cs="Times New Roman"/>
          <w:sz w:val="24"/>
          <w:szCs w:val="24"/>
          <w:highlight w:val="white"/>
        </w:rPr>
        <w:t xml:space="preserve"> Порядок), в случае осуществления затрат на выполнение работ, не предусмотренных Порядко</w:t>
      </w:r>
      <w:r>
        <w:rPr>
          <w:rFonts w:cs="Times New Roman"/>
          <w:sz w:val="24"/>
          <w:szCs w:val="24"/>
          <w:highlight w:val="white"/>
        </w:rPr>
        <w:t xml:space="preserve">м, носящих непредвиденный характер с учетом конструктивных особенностей местности, потребность в которых возникла в процессе разработки локально-сметного расчета и (или) дизайн-проек</w:t>
      </w:r>
      <w:r>
        <w:rPr>
          <w:rFonts w:cs="Times New Roman"/>
          <w:sz w:val="24"/>
          <w:szCs w:val="24"/>
          <w:highlight w:val="white"/>
        </w:rPr>
        <w:t xml:space="preserve">та и (или) в ходе проведения работ по благоустройству дворовой территории.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20"/>
        <w:shd w:val="nil" w:color="auto"/>
        <w:rPr>
          <w:sz w:val="24"/>
          <w:szCs w:val="24"/>
          <w:highlight w:val="white"/>
          <w14:ligatures w14:val="non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vertAlign w:val="superscript"/>
        </w:rPr>
        <w:t xml:space="preserve">3</w:t>
      </w:r>
      <w:r>
        <w:rPr>
          <w:sz w:val="24"/>
          <w:szCs w:val="24"/>
          <w:highlight w:val="white"/>
        </w:rPr>
        <w:t xml:space="preserve"> Нормативная (предельная) стоимость работ по благоустройству дворовых территорий рассчитывается методом сопоставимых рыночных цен (анализа рынка).</w:t>
      </w:r>
      <w:r>
        <w:rPr>
          <w:sz w:val="24"/>
          <w:szCs w:val="24"/>
          <w:highlight w:val="white"/>
          <w14:ligatures w14:val="none"/>
        </w:rPr>
      </w:r>
      <w:r>
        <w:rPr>
          <w:sz w:val="24"/>
          <w:szCs w:val="24"/>
          <w:highlight w:val="white"/>
          <w14:ligatures w14:val="none"/>
        </w:rPr>
      </w:r>
    </w:p>
    <w:p>
      <w:pPr>
        <w:shd w:val="nil" w:color="auto"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sectPr>
      <w:headerReference w:type="default" r:id="rId13"/>
      <w:headerReference w:type="first" r:id="rId14"/>
      <w:footerReference w:type="default" r:id="rId18"/>
      <w:footerReference w:type="first" r:id="rId19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903"/>
                            <w:rPr>
                              <w:rStyle w:val="870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70"/>
                            </w:rPr>
                            <w:fldChar w:fldCharType="begin"/>
                          </w:r>
                          <w:r>
                            <w:rPr>
                              <w:rStyle w:val="870"/>
                            </w:rPr>
                            <w:instrText xml:space="preserve"> PAGE </w:instrText>
                          </w:r>
                          <w:r>
                            <w:rPr>
                              <w:rStyle w:val="870"/>
                            </w:rPr>
                            <w:fldChar w:fldCharType="separate"/>
                          </w:r>
                          <w:r>
                            <w:rPr>
                              <w:rStyle w:val="870"/>
                            </w:rPr>
                            <w:t xml:space="preserve">0</w:t>
                          </w:r>
                          <w:r>
                            <w:rPr>
                              <w:rStyle w:val="870"/>
                            </w:rPr>
                            <w:fldChar w:fldCharType="end"/>
                          </w:r>
                          <w:r>
                            <w:rPr>
                              <w:rStyle w:val="870"/>
                            </w:rPr>
                          </w:r>
                          <w:r>
                            <w:rPr>
                              <w:rStyle w:val="870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0;o:allowoverlap:true;o:allowincell:tru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903"/>
                      <w:rPr>
                        <w:rStyle w:val="870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 xml:space="preserve">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70"/>
                      </w:rPr>
                      <w:fldChar w:fldCharType="begin"/>
                    </w:r>
                    <w:r>
                      <w:rPr>
                        <w:rStyle w:val="870"/>
                      </w:rPr>
                      <w:instrText xml:space="preserve"> PAGE </w:instrText>
                    </w:r>
                    <w:r>
                      <w:rPr>
                        <w:rStyle w:val="870"/>
                      </w:rPr>
                      <w:fldChar w:fldCharType="separate"/>
                    </w:r>
                    <w:r>
                      <w:rPr>
                        <w:rStyle w:val="870"/>
                      </w:rPr>
                      <w:t xml:space="preserve">0</w:t>
                    </w:r>
                    <w:r>
                      <w:rPr>
                        <w:rStyle w:val="870"/>
                      </w:rPr>
                      <w:fldChar w:fldCharType="end"/>
                    </w:r>
                    <w:r>
                      <w:rPr>
                        <w:rStyle w:val="870"/>
                      </w:rPr>
                    </w:r>
                    <w:r>
                      <w:rPr>
                        <w:rStyle w:val="87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2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23">
    <w:name w:val="Heading 1"/>
    <w:basedOn w:val="822"/>
    <w:next w:val="822"/>
    <w:link w:val="848"/>
    <w:qFormat/>
    <w:pPr>
      <w:ind w:right="-1" w:firstLine="709"/>
      <w:jc w:val="both"/>
      <w:keepNext/>
      <w:outlineLvl w:val="0"/>
    </w:pPr>
    <w:rPr>
      <w:sz w:val="24"/>
    </w:rPr>
  </w:style>
  <w:style w:type="paragraph" w:styleId="824">
    <w:name w:val="Heading 2"/>
    <w:basedOn w:val="822"/>
    <w:next w:val="822"/>
    <w:link w:val="849"/>
    <w:qFormat/>
    <w:pPr>
      <w:ind w:right="-1"/>
      <w:jc w:val="both"/>
      <w:keepNext/>
      <w:outlineLvl w:val="1"/>
    </w:pPr>
    <w:rPr>
      <w:sz w:val="24"/>
    </w:rPr>
  </w:style>
  <w:style w:type="paragraph" w:styleId="825">
    <w:name w:val="Heading 3"/>
    <w:basedOn w:val="822"/>
    <w:next w:val="822"/>
    <w:link w:val="85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26">
    <w:name w:val="Heading 4"/>
    <w:basedOn w:val="822"/>
    <w:next w:val="822"/>
    <w:link w:val="85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7">
    <w:name w:val="Heading 5"/>
    <w:basedOn w:val="822"/>
    <w:next w:val="822"/>
    <w:link w:val="8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8">
    <w:name w:val="Heading 6"/>
    <w:basedOn w:val="822"/>
    <w:next w:val="822"/>
    <w:link w:val="8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9">
    <w:name w:val="Heading 7"/>
    <w:basedOn w:val="822"/>
    <w:next w:val="822"/>
    <w:link w:val="8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0">
    <w:name w:val="Heading 8"/>
    <w:basedOn w:val="822"/>
    <w:next w:val="822"/>
    <w:link w:val="8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1">
    <w:name w:val="Heading 9"/>
    <w:basedOn w:val="822"/>
    <w:next w:val="822"/>
    <w:link w:val="8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2" w:default="1">
    <w:name w:val="Default Paragraph Font"/>
    <w:uiPriority w:val="1"/>
    <w:semiHidden/>
    <w:unhideWhenUsed/>
    <w:qFormat/>
  </w:style>
  <w:style w:type="character" w:styleId="833" w:customStyle="1">
    <w:name w:val="Heading 1 Char"/>
    <w:basedOn w:val="832"/>
    <w:uiPriority w:val="9"/>
    <w:qFormat/>
    <w:rPr>
      <w:rFonts w:ascii="Arial" w:hAnsi="Arial" w:eastAsia="Arial" w:cs="Arial"/>
      <w:sz w:val="40"/>
      <w:szCs w:val="40"/>
    </w:rPr>
  </w:style>
  <w:style w:type="character" w:styleId="834" w:customStyle="1">
    <w:name w:val="Heading 2 Char"/>
    <w:basedOn w:val="832"/>
    <w:uiPriority w:val="9"/>
    <w:qFormat/>
    <w:rPr>
      <w:rFonts w:ascii="Arial" w:hAnsi="Arial" w:eastAsia="Arial" w:cs="Arial"/>
      <w:sz w:val="34"/>
    </w:rPr>
  </w:style>
  <w:style w:type="character" w:styleId="835" w:customStyle="1">
    <w:name w:val="Heading 3 Char"/>
    <w:basedOn w:val="832"/>
    <w:uiPriority w:val="9"/>
    <w:qFormat/>
    <w:rPr>
      <w:rFonts w:ascii="Arial" w:hAnsi="Arial" w:eastAsia="Arial" w:cs="Arial"/>
      <w:sz w:val="30"/>
      <w:szCs w:val="30"/>
    </w:rPr>
  </w:style>
  <w:style w:type="character" w:styleId="836" w:customStyle="1">
    <w:name w:val="Heading 4 Char"/>
    <w:basedOn w:val="83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37" w:customStyle="1">
    <w:name w:val="Heading 5 Char"/>
    <w:basedOn w:val="83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8" w:customStyle="1">
    <w:name w:val="Heading 6 Char"/>
    <w:basedOn w:val="83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39" w:customStyle="1">
    <w:name w:val="Heading 7 Char"/>
    <w:basedOn w:val="83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40" w:customStyle="1">
    <w:name w:val="Heading 8 Char"/>
    <w:basedOn w:val="83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41" w:customStyle="1">
    <w:name w:val="Heading 9 Char"/>
    <w:basedOn w:val="83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42" w:customStyle="1">
    <w:name w:val="Title Char"/>
    <w:basedOn w:val="832"/>
    <w:uiPriority w:val="10"/>
    <w:qFormat/>
    <w:rPr>
      <w:sz w:val="48"/>
      <w:szCs w:val="48"/>
    </w:rPr>
  </w:style>
  <w:style w:type="character" w:styleId="843" w:customStyle="1">
    <w:name w:val="Subtitle Char"/>
    <w:basedOn w:val="832"/>
    <w:uiPriority w:val="11"/>
    <w:qFormat/>
    <w:rPr>
      <w:sz w:val="24"/>
      <w:szCs w:val="24"/>
    </w:rPr>
  </w:style>
  <w:style w:type="character" w:styleId="844" w:customStyle="1">
    <w:name w:val="Quote Char"/>
    <w:uiPriority w:val="29"/>
    <w:qFormat/>
    <w:rPr>
      <w:i/>
    </w:rPr>
  </w:style>
  <w:style w:type="character" w:styleId="845" w:customStyle="1">
    <w:name w:val="Intense Quote Char"/>
    <w:uiPriority w:val="30"/>
    <w:qFormat/>
    <w:rPr>
      <w:i/>
    </w:rPr>
  </w:style>
  <w:style w:type="character" w:styleId="846" w:customStyle="1">
    <w:name w:val="Footnote Text Char"/>
    <w:uiPriority w:val="99"/>
    <w:qFormat/>
    <w:rPr>
      <w:sz w:val="18"/>
    </w:rPr>
  </w:style>
  <w:style w:type="character" w:styleId="847" w:customStyle="1">
    <w:name w:val="Endnote Text Char"/>
    <w:uiPriority w:val="99"/>
    <w:qFormat/>
    <w:rPr>
      <w:sz w:val="20"/>
    </w:rPr>
  </w:style>
  <w:style w:type="character" w:styleId="848" w:customStyle="1">
    <w:name w:val="Заголовок 1 Знак"/>
    <w:basedOn w:val="832"/>
    <w:uiPriority w:val="9"/>
    <w:qFormat/>
    <w:rPr>
      <w:rFonts w:ascii="Arial" w:hAnsi="Arial" w:eastAsia="Arial" w:cs="Arial"/>
      <w:sz w:val="40"/>
      <w:szCs w:val="40"/>
    </w:rPr>
  </w:style>
  <w:style w:type="character" w:styleId="849" w:customStyle="1">
    <w:name w:val="Заголовок 2 Знак"/>
    <w:basedOn w:val="832"/>
    <w:uiPriority w:val="9"/>
    <w:qFormat/>
    <w:rPr>
      <w:rFonts w:ascii="Arial" w:hAnsi="Arial" w:eastAsia="Arial" w:cs="Arial"/>
      <w:sz w:val="34"/>
    </w:rPr>
  </w:style>
  <w:style w:type="character" w:styleId="850" w:customStyle="1">
    <w:name w:val="Заголовок 3 Знак"/>
    <w:basedOn w:val="832"/>
    <w:uiPriority w:val="9"/>
    <w:qFormat/>
    <w:rPr>
      <w:rFonts w:ascii="Arial" w:hAnsi="Arial" w:eastAsia="Arial" w:cs="Arial"/>
      <w:sz w:val="30"/>
      <w:szCs w:val="30"/>
    </w:rPr>
  </w:style>
  <w:style w:type="character" w:styleId="851" w:customStyle="1">
    <w:name w:val="Заголовок 4 Знак"/>
    <w:basedOn w:val="83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52" w:customStyle="1">
    <w:name w:val="Заголовок 5 Знак"/>
    <w:basedOn w:val="83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53" w:customStyle="1">
    <w:name w:val="Заголовок 6 Знак"/>
    <w:basedOn w:val="83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54" w:customStyle="1">
    <w:name w:val="Заголовок 7 Знак"/>
    <w:basedOn w:val="83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55" w:customStyle="1">
    <w:name w:val="Заголовок 8 Знак"/>
    <w:basedOn w:val="83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56" w:customStyle="1">
    <w:name w:val="Заголовок 9 Знак"/>
    <w:basedOn w:val="83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57" w:customStyle="1">
    <w:name w:val="Заголовок Знак"/>
    <w:basedOn w:val="832"/>
    <w:uiPriority w:val="10"/>
    <w:qFormat/>
    <w:rPr>
      <w:sz w:val="48"/>
      <w:szCs w:val="48"/>
    </w:rPr>
  </w:style>
  <w:style w:type="character" w:styleId="858" w:customStyle="1">
    <w:name w:val="Подзаголовок Знак"/>
    <w:basedOn w:val="832"/>
    <w:uiPriority w:val="11"/>
    <w:qFormat/>
    <w:rPr>
      <w:sz w:val="24"/>
      <w:szCs w:val="24"/>
    </w:rPr>
  </w:style>
  <w:style w:type="character" w:styleId="859" w:customStyle="1">
    <w:name w:val="Цитата 2 Знак"/>
    <w:link w:val="884"/>
    <w:uiPriority w:val="29"/>
    <w:qFormat/>
    <w:rPr>
      <w:i/>
    </w:rPr>
  </w:style>
  <w:style w:type="character" w:styleId="860" w:customStyle="1">
    <w:name w:val="Выделенная цитата Знак"/>
    <w:link w:val="885"/>
    <w:uiPriority w:val="30"/>
    <w:qFormat/>
    <w:rPr>
      <w:i/>
    </w:rPr>
  </w:style>
  <w:style w:type="character" w:styleId="861" w:customStyle="1">
    <w:name w:val="Header Char"/>
    <w:basedOn w:val="832"/>
    <w:uiPriority w:val="99"/>
    <w:qFormat/>
  </w:style>
  <w:style w:type="character" w:styleId="862" w:customStyle="1">
    <w:name w:val="Footer Char"/>
    <w:basedOn w:val="832"/>
    <w:uiPriority w:val="99"/>
    <w:qFormat/>
  </w:style>
  <w:style w:type="character" w:styleId="863" w:customStyle="1">
    <w:name w:val="Caption Char"/>
    <w:uiPriority w:val="99"/>
    <w:qFormat/>
  </w:style>
  <w:style w:type="character" w:styleId="864" w:customStyle="1">
    <w:name w:val="Текст сноски Знак"/>
    <w:uiPriority w:val="99"/>
    <w:qFormat/>
    <w:rPr>
      <w:sz w:val="18"/>
    </w:rPr>
  </w:style>
  <w:style w:type="character" w:styleId="865">
    <w:name w:val="Символ сноски"/>
    <w:basedOn w:val="832"/>
    <w:uiPriority w:val="99"/>
    <w:unhideWhenUsed/>
    <w:qFormat/>
    <w:rPr>
      <w:vertAlign w:val="superscript"/>
    </w:rPr>
  </w:style>
  <w:style w:type="character" w:styleId="866">
    <w:name w:val="footnote reference"/>
    <w:rPr>
      <w:vertAlign w:val="superscript"/>
    </w:rPr>
  </w:style>
  <w:style w:type="character" w:styleId="867" w:customStyle="1">
    <w:name w:val="Текст концевой сноски Знак"/>
    <w:uiPriority w:val="99"/>
    <w:qFormat/>
    <w:rPr>
      <w:sz w:val="20"/>
    </w:rPr>
  </w:style>
  <w:style w:type="character" w:styleId="868">
    <w:name w:val="Символ концевой сноски"/>
    <w:basedOn w:val="832"/>
    <w:uiPriority w:val="99"/>
    <w:semiHidden/>
    <w:unhideWhenUsed/>
    <w:qFormat/>
    <w:rPr>
      <w:vertAlign w:val="superscript"/>
    </w:rPr>
  </w:style>
  <w:style w:type="character" w:styleId="869">
    <w:name w:val="endnote reference"/>
    <w:rPr>
      <w:vertAlign w:val="superscript"/>
    </w:rPr>
  </w:style>
  <w:style w:type="character" w:styleId="870">
    <w:name w:val="page number"/>
    <w:basedOn w:val="832"/>
    <w:qFormat/>
  </w:style>
  <w:style w:type="character" w:styleId="871" w:customStyle="1">
    <w:name w:val="Текст выноски Знак"/>
    <w:link w:val="904"/>
    <w:uiPriority w:val="99"/>
    <w:qFormat/>
    <w:rPr>
      <w:rFonts w:ascii="Segoe UI" w:hAnsi="Segoe UI" w:cs="Segoe UI"/>
      <w:sz w:val="18"/>
      <w:szCs w:val="18"/>
    </w:rPr>
  </w:style>
  <w:style w:type="character" w:styleId="872" w:customStyle="1">
    <w:name w:val="Верхний колонтитул Знак"/>
    <w:uiPriority w:val="99"/>
    <w:qFormat/>
  </w:style>
  <w:style w:type="character" w:styleId="873">
    <w:name w:val="Hyperlink"/>
    <w:uiPriority w:val="99"/>
    <w:unhideWhenUsed/>
    <w:rPr>
      <w:color w:val="0000ff"/>
      <w:u w:val="single"/>
    </w:rPr>
  </w:style>
  <w:style w:type="character" w:styleId="874">
    <w:name w:val="FollowedHyperlink"/>
    <w:uiPriority w:val="99"/>
    <w:unhideWhenUsed/>
    <w:rPr>
      <w:color w:val="800080"/>
      <w:u w:val="single"/>
    </w:rPr>
  </w:style>
  <w:style w:type="character" w:styleId="875" w:customStyle="1">
    <w:name w:val="Основной текст Знак"/>
    <w:qFormat/>
    <w:rPr>
      <w:rFonts w:ascii="Courier New" w:hAnsi="Courier New"/>
      <w:sz w:val="26"/>
    </w:rPr>
  </w:style>
  <w:style w:type="character" w:styleId="876" w:customStyle="1">
    <w:name w:val="Нижний колонтитул Знак"/>
    <w:uiPriority w:val="99"/>
    <w:qFormat/>
  </w:style>
  <w:style w:type="paragraph" w:styleId="877">
    <w:name w:val="Заголовок"/>
    <w:basedOn w:val="822"/>
    <w:next w:val="878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78">
    <w:name w:val="Body Text"/>
    <w:basedOn w:val="822"/>
    <w:link w:val="875"/>
    <w:pPr>
      <w:ind w:right="3117"/>
    </w:pPr>
    <w:rPr>
      <w:rFonts w:ascii="Courier New" w:hAnsi="Courier New"/>
      <w:sz w:val="26"/>
    </w:rPr>
  </w:style>
  <w:style w:type="paragraph" w:styleId="879">
    <w:name w:val="List"/>
    <w:basedOn w:val="878"/>
    <w:rPr>
      <w:rFonts w:cs="Lohit Devanagari"/>
    </w:rPr>
  </w:style>
  <w:style w:type="paragraph" w:styleId="880">
    <w:name w:val="Caption"/>
    <w:basedOn w:val="822"/>
    <w:next w:val="822"/>
    <w:link w:val="86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Указатель"/>
    <w:basedOn w:val="822"/>
    <w:qFormat/>
    <w:pPr>
      <w:suppressLineNumbers/>
    </w:pPr>
    <w:rPr>
      <w:rFonts w:cs="Lohit Devanagari"/>
    </w:rPr>
  </w:style>
  <w:style w:type="paragraph" w:styleId="882">
    <w:name w:val="Title"/>
    <w:basedOn w:val="822"/>
    <w:next w:val="822"/>
    <w:link w:val="85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83">
    <w:name w:val="Subtitle"/>
    <w:basedOn w:val="822"/>
    <w:next w:val="822"/>
    <w:link w:val="858"/>
    <w:uiPriority w:val="11"/>
    <w:qFormat/>
    <w:pPr>
      <w:spacing w:before="200" w:after="200"/>
    </w:pPr>
    <w:rPr>
      <w:sz w:val="24"/>
      <w:szCs w:val="24"/>
    </w:rPr>
  </w:style>
  <w:style w:type="paragraph" w:styleId="884">
    <w:name w:val="Quote"/>
    <w:basedOn w:val="822"/>
    <w:next w:val="822"/>
    <w:link w:val="859"/>
    <w:uiPriority w:val="29"/>
    <w:qFormat/>
    <w:pPr>
      <w:ind w:left="720" w:right="720"/>
    </w:pPr>
    <w:rPr>
      <w:i/>
    </w:rPr>
  </w:style>
  <w:style w:type="paragraph" w:styleId="885">
    <w:name w:val="Intense Quote"/>
    <w:basedOn w:val="822"/>
    <w:next w:val="822"/>
    <w:link w:val="86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86">
    <w:name w:val="footnote text"/>
    <w:basedOn w:val="822"/>
    <w:link w:val="864"/>
    <w:uiPriority w:val="99"/>
    <w:semiHidden/>
    <w:unhideWhenUsed/>
    <w:pPr>
      <w:spacing w:before="0" w:after="40"/>
    </w:pPr>
    <w:rPr>
      <w:sz w:val="18"/>
    </w:rPr>
  </w:style>
  <w:style w:type="paragraph" w:styleId="887">
    <w:name w:val="endnote text"/>
    <w:basedOn w:val="822"/>
    <w:link w:val="867"/>
    <w:uiPriority w:val="99"/>
    <w:semiHidden/>
    <w:unhideWhenUsed/>
  </w:style>
  <w:style w:type="paragraph" w:styleId="888">
    <w:name w:val="toc 1"/>
    <w:basedOn w:val="822"/>
    <w:next w:val="822"/>
    <w:uiPriority w:val="39"/>
    <w:unhideWhenUsed/>
    <w:pPr>
      <w:spacing w:before="0" w:after="57"/>
    </w:pPr>
  </w:style>
  <w:style w:type="paragraph" w:styleId="889">
    <w:name w:val="toc 2"/>
    <w:basedOn w:val="822"/>
    <w:next w:val="822"/>
    <w:uiPriority w:val="39"/>
    <w:unhideWhenUsed/>
    <w:pPr>
      <w:ind w:left="283"/>
      <w:spacing w:before="0" w:after="57"/>
    </w:pPr>
  </w:style>
  <w:style w:type="paragraph" w:styleId="890">
    <w:name w:val="toc 3"/>
    <w:basedOn w:val="822"/>
    <w:next w:val="822"/>
    <w:uiPriority w:val="39"/>
    <w:unhideWhenUsed/>
    <w:pPr>
      <w:ind w:left="567"/>
      <w:spacing w:before="0" w:after="57"/>
    </w:pPr>
  </w:style>
  <w:style w:type="paragraph" w:styleId="891">
    <w:name w:val="toc 4"/>
    <w:basedOn w:val="822"/>
    <w:next w:val="822"/>
    <w:uiPriority w:val="39"/>
    <w:unhideWhenUsed/>
    <w:pPr>
      <w:ind w:left="850"/>
      <w:spacing w:before="0" w:after="57"/>
    </w:pPr>
  </w:style>
  <w:style w:type="paragraph" w:styleId="892">
    <w:name w:val="toc 5"/>
    <w:basedOn w:val="822"/>
    <w:next w:val="822"/>
    <w:uiPriority w:val="39"/>
    <w:unhideWhenUsed/>
    <w:pPr>
      <w:ind w:left="1134"/>
      <w:spacing w:before="0" w:after="57"/>
    </w:pPr>
  </w:style>
  <w:style w:type="paragraph" w:styleId="893">
    <w:name w:val="toc 6"/>
    <w:basedOn w:val="822"/>
    <w:next w:val="822"/>
    <w:uiPriority w:val="39"/>
    <w:unhideWhenUsed/>
    <w:pPr>
      <w:ind w:left="1417"/>
      <w:spacing w:before="0" w:after="57"/>
    </w:pPr>
  </w:style>
  <w:style w:type="paragraph" w:styleId="894">
    <w:name w:val="toc 7"/>
    <w:basedOn w:val="822"/>
    <w:next w:val="822"/>
    <w:uiPriority w:val="39"/>
    <w:unhideWhenUsed/>
    <w:pPr>
      <w:ind w:left="1701"/>
      <w:spacing w:before="0" w:after="57"/>
    </w:pPr>
  </w:style>
  <w:style w:type="paragraph" w:styleId="895">
    <w:name w:val="toc 8"/>
    <w:basedOn w:val="822"/>
    <w:next w:val="822"/>
    <w:uiPriority w:val="39"/>
    <w:unhideWhenUsed/>
    <w:pPr>
      <w:ind w:left="1984"/>
      <w:spacing w:before="0" w:after="57"/>
    </w:pPr>
  </w:style>
  <w:style w:type="paragraph" w:styleId="896">
    <w:name w:val="toc 9"/>
    <w:basedOn w:val="822"/>
    <w:next w:val="822"/>
    <w:uiPriority w:val="39"/>
    <w:unhideWhenUsed/>
    <w:pPr>
      <w:ind w:left="2268"/>
      <w:spacing w:before="0" w:after="57"/>
    </w:pPr>
  </w:style>
  <w:style w:type="paragraph" w:styleId="897">
    <w:name w:val="Index Heading"/>
    <w:basedOn w:val="877"/>
  </w:style>
  <w:style w:type="paragraph" w:styleId="898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99">
    <w:name w:val="table of figures"/>
    <w:basedOn w:val="822"/>
    <w:next w:val="822"/>
    <w:uiPriority w:val="99"/>
    <w:unhideWhenUsed/>
  </w:style>
  <w:style w:type="paragraph" w:styleId="900">
    <w:name w:val="Body Text Indent"/>
    <w:basedOn w:val="822"/>
    <w:pPr>
      <w:ind w:right="-1"/>
      <w:jc w:val="both"/>
    </w:pPr>
    <w:rPr>
      <w:sz w:val="26"/>
    </w:rPr>
  </w:style>
  <w:style w:type="paragraph" w:styleId="901">
    <w:name w:val="Колонтитул"/>
    <w:basedOn w:val="822"/>
    <w:qFormat/>
  </w:style>
  <w:style w:type="paragraph" w:styleId="902">
    <w:name w:val="Footer"/>
    <w:basedOn w:val="822"/>
    <w:link w:val="876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903">
    <w:name w:val="Header"/>
    <w:basedOn w:val="822"/>
    <w:link w:val="872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904">
    <w:name w:val="Balloon Text"/>
    <w:basedOn w:val="822"/>
    <w:link w:val="871"/>
    <w:uiPriority w:val="99"/>
    <w:qFormat/>
    <w:rPr>
      <w:rFonts w:ascii="Segoe UI" w:hAnsi="Segoe UI" w:cs="Segoe UI"/>
      <w:sz w:val="18"/>
      <w:szCs w:val="18"/>
    </w:rPr>
  </w:style>
  <w:style w:type="paragraph" w:styleId="905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906" w:customStyle="1">
    <w:name w:val="xl65"/>
    <w:basedOn w:val="82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66"/>
    <w:basedOn w:val="82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67"/>
    <w:basedOn w:val="82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 w:customStyle="1">
    <w:name w:val="xl68"/>
    <w:basedOn w:val="82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0" w:customStyle="1">
    <w:name w:val="xl69"/>
    <w:basedOn w:val="82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70"/>
    <w:basedOn w:val="82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2" w:customStyle="1">
    <w:name w:val="xl71"/>
    <w:basedOn w:val="82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72"/>
    <w:basedOn w:val="82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3"/>
    <w:basedOn w:val="82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74"/>
    <w:basedOn w:val="82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5"/>
    <w:basedOn w:val="822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6"/>
    <w:basedOn w:val="822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7"/>
    <w:basedOn w:val="822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8"/>
    <w:basedOn w:val="82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9"/>
    <w:basedOn w:val="82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922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923" w:customStyle="1">
    <w:name w:val="font5"/>
    <w:basedOn w:val="822"/>
    <w:qFormat/>
    <w:pPr>
      <w:spacing w:beforeAutospacing="1" w:afterAutospacing="1"/>
    </w:pPr>
    <w:rPr>
      <w:color w:val="000000"/>
      <w:sz w:val="28"/>
      <w:szCs w:val="28"/>
    </w:rPr>
  </w:style>
  <w:style w:type="paragraph" w:styleId="924" w:customStyle="1">
    <w:name w:val="xl80"/>
    <w:basedOn w:val="82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5" w:customStyle="1">
    <w:name w:val="xl81"/>
    <w:basedOn w:val="82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6" w:customStyle="1">
    <w:name w:val="xl82"/>
    <w:basedOn w:val="822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27" w:customStyle="1">
    <w:name w:val="xl83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84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85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86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87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2" w:customStyle="1">
    <w:name w:val="xl88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3" w:customStyle="1">
    <w:name w:val="xl89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0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1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92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7" w:customStyle="1">
    <w:name w:val="xl93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94"/>
    <w:basedOn w:val="822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95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96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7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8"/>
    <w:basedOn w:val="82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3" w:customStyle="1">
    <w:name w:val="xl99"/>
    <w:basedOn w:val="822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100"/>
    <w:basedOn w:val="82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1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2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03"/>
    <w:basedOn w:val="82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04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05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06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07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8"/>
    <w:basedOn w:val="82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9"/>
    <w:basedOn w:val="82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0"/>
    <w:basedOn w:val="82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1"/>
    <w:basedOn w:val="82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2"/>
    <w:basedOn w:val="822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57" w:customStyle="1">
    <w:name w:val="xl113"/>
    <w:basedOn w:val="82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14"/>
    <w:basedOn w:val="82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15"/>
    <w:basedOn w:val="822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0" w:customStyle="1">
    <w:name w:val="xl116"/>
    <w:basedOn w:val="822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7"/>
    <w:basedOn w:val="822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8"/>
    <w:basedOn w:val="822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9"/>
    <w:basedOn w:val="822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20"/>
    <w:basedOn w:val="822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5" w:customStyle="1">
    <w:name w:val="xl121"/>
    <w:basedOn w:val="82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6" w:customStyle="1">
    <w:name w:val="xl122"/>
    <w:basedOn w:val="822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23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8" w:customStyle="1">
    <w:name w:val="xl124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 w:customStyle="1">
    <w:name w:val="xl125"/>
    <w:basedOn w:val="822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font6"/>
    <w:basedOn w:val="82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71" w:customStyle="1">
    <w:name w:val="font7"/>
    <w:basedOn w:val="822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72" w:customStyle="1">
    <w:name w:val="font8"/>
    <w:basedOn w:val="822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73">
    <w:name w:val="List Paragraph"/>
    <w:basedOn w:val="822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74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Tahoma" w:cs="Calibri"/>
      <w:b/>
      <w:color w:val="auto"/>
      <w:sz w:val="22"/>
      <w:szCs w:val="22"/>
      <w:lang w:val="ru-RU" w:eastAsia="ru-RU" w:bidi="ar-SA"/>
    </w:rPr>
  </w:style>
  <w:style w:type="paragraph" w:styleId="975">
    <w:name w:val="Содержимое врезки"/>
    <w:basedOn w:val="822"/>
    <w:qFormat/>
  </w:style>
  <w:style w:type="numbering" w:styleId="976" w:default="1">
    <w:name w:val="No List"/>
    <w:uiPriority w:val="99"/>
    <w:semiHidden/>
    <w:unhideWhenUsed/>
    <w:qFormat/>
  </w:style>
  <w:style w:type="numbering" w:styleId="977" w:customStyle="1">
    <w:name w:val="Нет списка1"/>
    <w:uiPriority w:val="99"/>
    <w:semiHidden/>
    <w:unhideWhenUsed/>
    <w:qFormat/>
  </w:style>
  <w:style w:type="numbering" w:styleId="978" w:customStyle="1">
    <w:name w:val="Нет списка11"/>
    <w:uiPriority w:val="99"/>
    <w:semiHidden/>
    <w:unhideWhenUsed/>
    <w:qFormat/>
  </w:style>
  <w:style w:type="numbering" w:styleId="979" w:customStyle="1">
    <w:name w:val="Нет списка111"/>
    <w:uiPriority w:val="99"/>
    <w:semiHidden/>
    <w:unhideWhenUsed/>
    <w:qFormat/>
  </w:style>
  <w:style w:type="numbering" w:styleId="980" w:customStyle="1">
    <w:name w:val="Нет списка2"/>
    <w:uiPriority w:val="99"/>
    <w:semiHidden/>
    <w:unhideWhenUsed/>
    <w:qFormat/>
  </w:style>
  <w:style w:type="numbering" w:styleId="981" w:customStyle="1">
    <w:name w:val="Нет списка3"/>
    <w:uiPriority w:val="99"/>
    <w:semiHidden/>
    <w:unhideWhenUsed/>
    <w:qFormat/>
  </w:style>
  <w:style w:type="numbering" w:styleId="982" w:customStyle="1">
    <w:name w:val="Нет списка4"/>
    <w:uiPriority w:val="99"/>
    <w:semiHidden/>
    <w:unhideWhenUsed/>
    <w:qFormat/>
  </w:style>
  <w:style w:type="table" w:styleId="983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84" w:customStyle="1">
    <w:name w:val="Table Grid Light"/>
    <w:basedOn w:val="98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85">
    <w:name w:val="Plain Table 1"/>
    <w:basedOn w:val="98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86">
    <w:name w:val="Plain Table 2"/>
    <w:basedOn w:val="98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87">
    <w:name w:val="Plain Table 3"/>
    <w:basedOn w:val="983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88">
    <w:name w:val="Plain Table 4"/>
    <w:basedOn w:val="983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89">
    <w:name w:val="Plain Table 5"/>
    <w:basedOn w:val="983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90">
    <w:name w:val="Grid Table 1 Light"/>
    <w:basedOn w:val="98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1" w:customStyle="1">
    <w:name w:val="Grid Table 1 Light - Accent 1"/>
    <w:basedOn w:val="983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EC4E6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2" w:customStyle="1">
    <w:name w:val="Grid Table 1 Light - Accent 2"/>
    <w:basedOn w:val="98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4B28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3" w:customStyle="1">
    <w:name w:val="Grid Table 1 Light - Accent 3"/>
    <w:basedOn w:val="98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4" w:customStyle="1">
    <w:name w:val="Grid Table 1 Light - Accent 4"/>
    <w:basedOn w:val="98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DA6A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5" w:customStyle="1">
    <w:name w:val="Grid Table 1 Light - Accent 5"/>
    <w:basedOn w:val="983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1ACDC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6" w:customStyle="1">
    <w:name w:val="Grid Table 1 Light - Accent 6"/>
    <w:basedOn w:val="98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97">
    <w:name w:val="Grid Table 2"/>
    <w:basedOn w:val="98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Grid Table 2 - Accent 1"/>
    <w:basedOn w:val="983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Grid Table 2 - Accent 2"/>
    <w:basedOn w:val="98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Grid Table 2 - Accent 3"/>
    <w:basedOn w:val="98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Grid Table 2 - Accent 4"/>
    <w:basedOn w:val="98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Grid Table 2 - Accent 5"/>
    <w:basedOn w:val="983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Grid Table 2 - Accent 6"/>
    <w:basedOn w:val="98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>
    <w:name w:val="Grid Table 3"/>
    <w:basedOn w:val="98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Grid Table 3 - Accent 1"/>
    <w:basedOn w:val="983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Grid Table 3 - Accent 2"/>
    <w:basedOn w:val="983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 w:customStyle="1">
    <w:name w:val="Grid Table 3 - Accent 3"/>
    <w:basedOn w:val="98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 w:customStyle="1">
    <w:name w:val="Grid Table 3 - Accent 4"/>
    <w:basedOn w:val="983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 w:customStyle="1">
    <w:name w:val="Grid Table 3 - Accent 5"/>
    <w:basedOn w:val="983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0" w:customStyle="1">
    <w:name w:val="Grid Table 3 - Accent 6"/>
    <w:basedOn w:val="983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1">
    <w:name w:val="Grid Table 4"/>
    <w:basedOn w:val="98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1012" w:customStyle="1">
    <w:name w:val="Grid Table 4 - Accent 1"/>
    <w:basedOn w:val="983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2d8" w:fill="68a2d8" w:themeFill="accent1" w:themeFillTint="EA"/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8A2D8" w:themeColor="accent1" w:sz="4" w:space="0"/>
        </w:tcBorders>
      </w:tcPr>
    </w:tblStylePr>
  </w:style>
  <w:style w:type="table" w:styleId="1013" w:customStyle="1">
    <w:name w:val="Grid Table 4 - Accent 2"/>
    <w:basedOn w:val="983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4B184" w:themeColor="accent2" w:sz="4" w:space="0"/>
        </w:tcBorders>
      </w:tcPr>
    </w:tblStylePr>
  </w:style>
  <w:style w:type="table" w:styleId="1014" w:customStyle="1">
    <w:name w:val="Grid Table 4 - Accent 3"/>
    <w:basedOn w:val="98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1015" w:customStyle="1">
    <w:name w:val="Grid Table 4 - Accent 4"/>
    <w:basedOn w:val="983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D865" w:themeColor="accent4" w:sz="4" w:space="0"/>
        </w:tcBorders>
      </w:tcPr>
    </w:tblStylePr>
  </w:style>
  <w:style w:type="table" w:styleId="1016" w:customStyle="1">
    <w:name w:val="Grid Table 4 - Accent 5"/>
    <w:basedOn w:val="983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1017" w:customStyle="1">
    <w:name w:val="Grid Table 4 - Accent 6"/>
    <w:basedOn w:val="983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1018">
    <w:name w:val="Grid Table 5 Dark"/>
    <w:basedOn w:val="9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1019" w:customStyle="1">
    <w:name w:val="Grid Table 5 Dark- Accent 1"/>
    <w:basedOn w:val="9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1020" w:customStyle="1">
    <w:name w:val="Grid Table 5 Dark - Accent 2"/>
    <w:basedOn w:val="9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1021" w:customStyle="1">
    <w:name w:val="Grid Table 5 Dark - Accent 3"/>
    <w:basedOn w:val="9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1022" w:customStyle="1">
    <w:name w:val="Grid Table 5 Dark- Accent 4"/>
    <w:basedOn w:val="9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1023" w:customStyle="1">
    <w:name w:val="Grid Table 5 Dark - Accent 5"/>
    <w:basedOn w:val="9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1024" w:customStyle="1">
    <w:name w:val="Grid Table 5 Dark - Accent 6"/>
    <w:basedOn w:val="9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1025">
    <w:name w:val="Grid Table 6 Colorful"/>
    <w:basedOn w:val="98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1026" w:customStyle="1">
    <w:name w:val="Grid Table 6 Colorful - Accent 1"/>
    <w:basedOn w:val="983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ACCCEA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</w:style>
  <w:style w:type="table" w:styleId="1027" w:customStyle="1">
    <w:name w:val="Grid Table 6 Colorful - Accent 2"/>
    <w:basedOn w:val="98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</w:style>
  <w:style w:type="table" w:styleId="1028" w:customStyle="1">
    <w:name w:val="Grid Table 6 Colorful - Accent 3"/>
    <w:basedOn w:val="98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</w:style>
  <w:style w:type="table" w:styleId="1029" w:customStyle="1">
    <w:name w:val="Grid Table 6 Colorful - Accent 4"/>
    <w:basedOn w:val="98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</w:style>
  <w:style w:type="table" w:styleId="1030" w:customStyle="1">
    <w:name w:val="Grid Table 6 Colorful - Accent 5"/>
    <w:basedOn w:val="983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1031" w:customStyle="1">
    <w:name w:val="Grid Table 6 Colorful - Accent 6"/>
    <w:basedOn w:val="983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</w:style>
  <w:style w:type="table" w:styleId="1032">
    <w:name w:val="Grid Table 7 Colorful"/>
    <w:basedOn w:val="98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Grid Table 7 Colorful - Accent 1"/>
    <w:basedOn w:val="983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ACCCEA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Grid Table 7 Colorful - Accent 2"/>
    <w:basedOn w:val="983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5" w:customStyle="1">
    <w:name w:val="Grid Table 7 Colorful - Accent 3"/>
    <w:basedOn w:val="98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6" w:customStyle="1">
    <w:name w:val="Grid Table 7 Colorful - Accent 4"/>
    <w:basedOn w:val="983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7" w:customStyle="1">
    <w:name w:val="Grid Table 7 Colorful - Accent 5"/>
    <w:basedOn w:val="983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8" w:customStyle="1">
    <w:name w:val="Grid Table 7 Colorful - Accent 6"/>
    <w:basedOn w:val="983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9">
    <w:name w:val="List Table 1 Light"/>
    <w:basedOn w:val="983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0" w:customStyle="1">
    <w:name w:val="List Table 1 Light - Accent 1"/>
    <w:basedOn w:val="983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1" w:customStyle="1">
    <w:name w:val="List Table 1 Light - Accent 2"/>
    <w:basedOn w:val="983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2" w:customStyle="1">
    <w:name w:val="List Table 1 Light - Accent 3"/>
    <w:basedOn w:val="983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3" w:customStyle="1">
    <w:name w:val="List Table 1 Light - Accent 4"/>
    <w:basedOn w:val="983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4" w:customStyle="1">
    <w:name w:val="List Table 1 Light - Accent 5"/>
    <w:basedOn w:val="983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 w:customStyle="1">
    <w:name w:val="List Table 1 Light - Accent 6"/>
    <w:basedOn w:val="983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>
    <w:name w:val="List Table 2"/>
    <w:basedOn w:val="98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1047" w:customStyle="1">
    <w:name w:val="List Table 2 - Accent 1"/>
    <w:basedOn w:val="983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styleId="1048" w:customStyle="1">
    <w:name w:val="List Table 2 - Accent 2"/>
    <w:basedOn w:val="983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1049" w:customStyle="1">
    <w:name w:val="List Table 2 - Accent 3"/>
    <w:basedOn w:val="98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1050" w:customStyle="1">
    <w:name w:val="List Table 2 - Accent 4"/>
    <w:basedOn w:val="983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styleId="1051" w:customStyle="1">
    <w:name w:val="List Table 2 - Accent 5"/>
    <w:basedOn w:val="983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styleId="1052" w:customStyle="1">
    <w:name w:val="List Table 2 - Accent 6"/>
    <w:basedOn w:val="983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1053">
    <w:name w:val="List Table 3"/>
    <w:basedOn w:val="98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4" w:customStyle="1">
    <w:name w:val="List Table 3 - Accent 1"/>
    <w:basedOn w:val="983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5" w:customStyle="1">
    <w:name w:val="List Table 3 - Accent 2"/>
    <w:basedOn w:val="983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6" w:customStyle="1">
    <w:name w:val="List Table 3 - Accent 3"/>
    <w:basedOn w:val="98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7" w:customStyle="1">
    <w:name w:val="List Table 3 - Accent 4"/>
    <w:basedOn w:val="983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8" w:customStyle="1">
    <w:name w:val="List Table 3 - Accent 5"/>
    <w:basedOn w:val="983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sz w:val="22"/>
      </w:rPr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da9db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9" w:customStyle="1">
    <w:name w:val="List Table 3 - Accent 6"/>
    <w:basedOn w:val="983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60">
    <w:name w:val="List Table 4"/>
    <w:basedOn w:val="98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61" w:customStyle="1">
    <w:name w:val="List Table 4 - Accent 1"/>
    <w:basedOn w:val="983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62" w:customStyle="1">
    <w:name w:val="List Table 4 - Accent 2"/>
    <w:basedOn w:val="983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63" w:customStyle="1">
    <w:name w:val="List Table 4 - Accent 3"/>
    <w:basedOn w:val="98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64" w:customStyle="1">
    <w:name w:val="List Table 4 - Accent 4"/>
    <w:basedOn w:val="983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65" w:customStyle="1">
    <w:name w:val="List Table 4 - Accent 5"/>
    <w:basedOn w:val="983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66" w:customStyle="1">
    <w:name w:val="List Table 4 - Accent 6"/>
    <w:basedOn w:val="983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67">
    <w:name w:val="List Table 5 Dark"/>
    <w:basedOn w:val="98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68" w:customStyle="1">
    <w:name w:val="List Table 5 Dark - Accent 1"/>
    <w:basedOn w:val="983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69" w:customStyle="1">
    <w:name w:val="List Table 5 Dark - Accent 2"/>
    <w:basedOn w:val="983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F4B184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70" w:customStyle="1">
    <w:name w:val="List Table 5 Dark - Accent 3"/>
    <w:basedOn w:val="98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71" w:customStyle="1">
    <w:name w:val="List Table 5 Dark - Accent 4"/>
    <w:basedOn w:val="983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D865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72" w:customStyle="1">
    <w:name w:val="List Table 5 Dark - Accent 5"/>
    <w:basedOn w:val="983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8DA9DB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73" w:customStyle="1">
    <w:name w:val="List Table 5 Dark - Accent 6"/>
    <w:basedOn w:val="983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74">
    <w:name w:val="List Table 6 Colorful"/>
    <w:basedOn w:val="98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075" w:customStyle="1">
    <w:name w:val="List Table 6 Colorful - Accent 1"/>
    <w:basedOn w:val="983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076" w:customStyle="1">
    <w:name w:val="List Table 6 Colorful - Accent 2"/>
    <w:basedOn w:val="983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F4B184" w:themeColor="accent2" w:sz="4" w:space="0"/>
        </w:tcBorders>
      </w:tcPr>
    </w:tblStylePr>
  </w:style>
  <w:style w:type="table" w:styleId="1077" w:customStyle="1">
    <w:name w:val="List Table 6 Colorful - Accent 3"/>
    <w:basedOn w:val="98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C9C9C9" w:themeColor="accent3" w:sz="4" w:space="0"/>
        </w:tcBorders>
      </w:tcPr>
    </w:tblStylePr>
  </w:style>
  <w:style w:type="table" w:styleId="1078" w:customStyle="1">
    <w:name w:val="List Table 6 Colorful - Accent 4"/>
    <w:basedOn w:val="983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FFD865" w:themeColor="accent4" w:sz="4" w:space="0"/>
        </w:tcBorders>
      </w:tcPr>
    </w:tblStylePr>
  </w:style>
  <w:style w:type="table" w:styleId="1079" w:customStyle="1">
    <w:name w:val="List Table 6 Colorful - Accent 5"/>
    <w:basedOn w:val="983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8DA9DB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8DA9DB" w:themeColor="accent5" w:sz="4" w:space="0"/>
        </w:tcBorders>
      </w:tcPr>
    </w:tblStylePr>
  </w:style>
  <w:style w:type="table" w:styleId="1080" w:customStyle="1">
    <w:name w:val="List Table 6 Colorful - Accent 6"/>
    <w:basedOn w:val="983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A9D08E" w:themeColor="accent6" w:sz="4" w:space="0"/>
        </w:tcBorders>
      </w:tcPr>
    </w:tblStylePr>
  </w:style>
  <w:style w:type="table" w:styleId="1081">
    <w:name w:val="List Table 7 Colorful"/>
    <w:basedOn w:val="98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2" w:customStyle="1">
    <w:name w:val="List Table 7 Colorful - Accent 1"/>
    <w:basedOn w:val="983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3" w:customStyle="1">
    <w:name w:val="List Table 7 Colorful - Accent 2"/>
    <w:basedOn w:val="983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4" w:customStyle="1">
    <w:name w:val="List Table 7 Colorful - Accent 3"/>
    <w:basedOn w:val="98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5" w:customStyle="1">
    <w:name w:val="List Table 7 Colorful - Accent 4"/>
    <w:basedOn w:val="983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6" w:customStyle="1">
    <w:name w:val="List Table 7 Colorful - Accent 5"/>
    <w:basedOn w:val="983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8D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7" w:customStyle="1">
    <w:name w:val="List Table 7 Colorful - Accent 6"/>
    <w:basedOn w:val="983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8" w:customStyle="1">
    <w:name w:val="Lined - Accent"/>
    <w:basedOn w:val="98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89" w:customStyle="1">
    <w:name w:val="Lined - Accent 1"/>
    <w:basedOn w:val="98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1090" w:customStyle="1">
    <w:name w:val="Lined - Accent 2"/>
    <w:basedOn w:val="98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1091" w:customStyle="1">
    <w:name w:val="Lined - Accent 3"/>
    <w:basedOn w:val="98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1092" w:customStyle="1">
    <w:name w:val="Lined - Accent 4"/>
    <w:basedOn w:val="98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1093" w:customStyle="1">
    <w:name w:val="Lined - Accent 5"/>
    <w:basedOn w:val="98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1094" w:customStyle="1">
    <w:name w:val="Lined - Accent 6"/>
    <w:basedOn w:val="983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1095" w:customStyle="1">
    <w:name w:val="Bordered &amp; Lined - Accent"/>
    <w:basedOn w:val="983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96" w:customStyle="1">
    <w:name w:val="Bordered &amp; Lined - Accent 1"/>
    <w:basedOn w:val="983"/>
    <w:uiPriority w:val="99"/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1097" w:customStyle="1">
    <w:name w:val="Bordered &amp; Lined - Accent 2"/>
    <w:basedOn w:val="983"/>
    <w:uiPriority w:val="99"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1098" w:customStyle="1">
    <w:name w:val="Bordered &amp; Lined - Accent 3"/>
    <w:basedOn w:val="983"/>
    <w:uiPriority w:val="99"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1099" w:customStyle="1">
    <w:name w:val="Bordered &amp; Lined - Accent 4"/>
    <w:basedOn w:val="983"/>
    <w:uiPriority w:val="99"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1100" w:customStyle="1">
    <w:name w:val="Bordered &amp; Lined - Accent 5"/>
    <w:basedOn w:val="983"/>
    <w:uiPriority w:val="99"/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1101" w:customStyle="1">
    <w:name w:val="Bordered &amp; Lined - Accent 6"/>
    <w:basedOn w:val="983"/>
    <w:uiPriority w:val="99"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1102" w:customStyle="1">
    <w:name w:val="Bordered"/>
    <w:basedOn w:val="98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103" w:customStyle="1">
    <w:name w:val="Bordered - Accent 1"/>
    <w:basedOn w:val="983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104" w:customStyle="1">
    <w:name w:val="Bordered - Accent 2"/>
    <w:basedOn w:val="983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4B184" w:themeColor="accent2" w:sz="12" w:space="0"/>
        </w:tcBorders>
      </w:tcPr>
    </w:tblStylePr>
    <w:tblStylePr w:type="lastCol">
      <w:rPr>
        <w:sz w:val="22"/>
      </w:rPr>
      <w:tcPr>
        <w:tcBorders>
          <w:left w:val="single" w:color="F4B184" w:themeColor="accent2" w:sz="12" w:space="0"/>
        </w:tcBorders>
      </w:tcPr>
    </w:tblStylePr>
    <w:tblStylePr w:type="lastRow">
      <w:rPr>
        <w:sz w:val="22"/>
      </w:rPr>
      <w:tcPr>
        <w:tcBorders>
          <w:top w:val="single" w:color="F4B184" w:themeColor="accent2" w:sz="12" w:space="0"/>
        </w:tcBorders>
      </w:tcPr>
    </w:tblStylePr>
  </w:style>
  <w:style w:type="table" w:styleId="1105" w:customStyle="1">
    <w:name w:val="Bordered - Accent 3"/>
    <w:basedOn w:val="98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1106" w:customStyle="1">
    <w:name w:val="Bordered - Accent 4"/>
    <w:basedOn w:val="983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D865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D865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D865" w:themeColor="accent4" w:sz="12" w:space="0"/>
        </w:tcBorders>
      </w:tcPr>
    </w:tblStylePr>
  </w:style>
  <w:style w:type="table" w:styleId="1107" w:customStyle="1">
    <w:name w:val="Bordered - Accent 5"/>
    <w:basedOn w:val="983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DA9DB" w:themeColor="accent5" w:sz="12" w:space="0"/>
        </w:tcBorders>
      </w:tcPr>
    </w:tblStylePr>
    <w:tblStylePr w:type="lastCol">
      <w:rPr>
        <w:sz w:val="22"/>
      </w:rPr>
      <w:tcPr>
        <w:tcBorders>
          <w:left w:val="single" w:color="8DA9DB" w:themeColor="accent5" w:sz="12" w:space="0"/>
        </w:tcBorders>
      </w:tcPr>
    </w:tblStylePr>
    <w:tblStylePr w:type="lastRow">
      <w:rPr>
        <w:sz w:val="22"/>
      </w:rPr>
      <w:tcPr>
        <w:tcBorders>
          <w:top w:val="single" w:color="8DA9DB" w:themeColor="accent5" w:sz="12" w:space="0"/>
        </w:tcBorders>
      </w:tcPr>
    </w:tblStylePr>
  </w:style>
  <w:style w:type="table" w:styleId="1108" w:customStyle="1">
    <w:name w:val="Bordered - Accent 6"/>
    <w:basedOn w:val="983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cPr>
        <w:tcBorders>
          <w:top w:val="single" w:color="A9D08E" w:themeColor="accent6" w:sz="12" w:space="0"/>
        </w:tcBorders>
      </w:tcPr>
    </w:tblStylePr>
  </w:style>
  <w:style w:type="table" w:styleId="1109">
    <w:name w:val="Table Grid"/>
    <w:basedOn w:val="983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footer" Target="footer3.xml" /><Relationship Id="rId18" Type="http://schemas.openxmlformats.org/officeDocument/2006/relationships/footer" Target="footer4.xml" /><Relationship Id="rId19" Type="http://schemas.openxmlformats.org/officeDocument/2006/relationships/footer" Target="footer5.xml" /><Relationship Id="rId2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samokhvalova-ev</cp:lastModifiedBy>
  <cp:revision>176</cp:revision>
  <dcterms:created xsi:type="dcterms:W3CDTF">2024-10-25T06:26:00Z</dcterms:created>
  <dcterms:modified xsi:type="dcterms:W3CDTF">2026-08-31T09:10:57Z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