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mc:AlternateContent>
          <mc:Choice Requires="wpg">
            <w:drawing>
              <wp:anchor behindDoc="0" distT="0" distB="0" distL="0" distR="0" simplePos="0" locked="0" layoutInCell="1" allowOverlap="1" relativeHeight="3">
                <wp:simplePos x="0" y="0"/>
                <wp:positionH relativeFrom="column">
                  <wp:posOffset>7620</wp:posOffset>
                </wp:positionH>
                <wp:positionV relativeFrom="paragraph">
                  <wp:posOffset>-52070</wp:posOffset>
                </wp:positionV>
                <wp:extent cx="6285865" cy="779145"/>
                <wp:effectExtent l="0" t="0" r="0" b="0"/>
                <wp:wrapNone/>
                <wp:docPr id="1" name="_x005F_x0000_s2049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5960" cy="779040"/>
                          <a:chOff x="0" y="0"/>
                          <a:chExt cx="6285960" cy="779040"/>
                        </a:xfrm>
                      </wpg:grpSpPr>
                      <wps:wsp>
                        <wps:cNvPr id="2" name=""/>
                        <wps:cNvSpPr/>
                        <wps:spPr>
                          <a:xfrm>
                            <a:off x="0" y="0"/>
                            <a:ext cx="6285960" cy="7765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Caption"/>
                                <w:spacing w:lineRule="auto" w:line="240" w:before="120" w:after="0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АДМИНИСТРАЦИЯ ГОРОДА ПЕРМИ</w:t>
                              </w:r>
                            </w:p>
                            <w:p>
                              <w:pPr>
                                <w:pStyle w:val="Normal"/>
                                <w:widowControl w:val="false"/>
                                <w:spacing w:lineRule="exact" w:line="360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П О С Т А Н О В Л Е Н И Е</w:t>
                              </w:r>
                            </w:p>
                            <w:p>
                              <w:pPr>
                                <w:pStyle w:val="Normal"/>
                                <w:widowControl w:val="false"/>
                                <w:spacing w:lineRule="exact" w:line="36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</w:p>
                            <w:p>
                              <w:pPr>
                                <w:pStyle w:val="Heading2"/>
                                <w:jc w:val="center"/>
                                <w:rPr/>
                              </w:pPr>
                              <w:r>
                                <w:rPr/>
                              </w:r>
                            </w:p>
                          </w:txbxContent>
                        </wps:txbx>
                        <wps:bodyPr lIns="36360" rIns="36360" tIns="36360" bIns="36360" anchor="t">
                          <a:noAutofit/>
                        </wps:bodyPr>
                      </wps:wsp>
                      <wps:wsp>
                        <wps:cNvPr id="3" name=""/>
                        <wps:cNvSpPr/>
                        <wps:spPr>
                          <a:xfrm>
                            <a:off x="258480" y="547200"/>
                            <a:ext cx="1528560" cy="2293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pPr>
                                <w:pStyle w:val="Normal"/>
                                <w:rPr/>
                              </w:pPr>
                              <w:r>
                                <w:rPr/>
                              </w:r>
                            </w:p>
                          </w:txbxContent>
                        </wps:txbx>
                        <wps:bodyPr lIns="36360" rIns="36360" tIns="36360" bIns="36360" anchor="t">
                          <a:noAutofit/>
                        </wps:bodyPr>
                      </wps:wsp>
                      <wps:wsp>
                        <wps:cNvPr id="4" name=""/>
                        <wps:cNvSpPr/>
                        <wps:spPr>
                          <a:xfrm>
                            <a:off x="4947840" y="550080"/>
                            <a:ext cx="1078200" cy="229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pPr>
                                <w:pStyle w:val="Normal"/>
                                <w:rPr/>
                              </w:pPr>
                              <w:r>
                                <w:rPr/>
                              </w:r>
                            </w:p>
                          </w:txbxContent>
                        </wps:txbx>
                        <wps:bodyPr lIns="36360" rIns="36360" tIns="36360" bIns="3636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_x005F_x0000_s2049" style="position:absolute;margin-left:0.6pt;margin-top:-4.1pt;width:494.95pt;height:61.35pt" coordorigin="12,-82" coordsize="9899,1227">
                <v:rect id="shape_0" path="m0,0l-2147483645,0l-2147483645,-2147483646l0,-2147483646xe" fillcolor="white" stroked="f" o:allowincell="f" style="position:absolute;left:12;top:-82;width:9898;height:1222;mso-wrap-style:square;v-text-anchor:top">
                  <v:fill o:detectmouseclick="t" type="solid" color2="black"/>
                  <v:stroke color="#3465a4" joinstyle="round" endcap="flat"/>
                  <v:textbox>
                    <w:txbxContent>
                      <w:p>
                        <w:pPr>
                          <w:pStyle w:val="Caption"/>
                          <w:spacing w:lineRule="auto" w:line="240" w:before="120" w:after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АДМИНИСТРАЦИЯ ГОРОДА ПЕРМИ</w:t>
                        </w:r>
                      </w:p>
                      <w:p>
                        <w:pPr>
                          <w:pStyle w:val="Normal"/>
                          <w:widowControl w:val="false"/>
                          <w:spacing w:lineRule="exact" w:line="360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 О С Т А Н О В Л Е Н И Е</w:t>
                        </w:r>
                      </w:p>
                      <w:p>
                        <w:pPr>
                          <w:pStyle w:val="Normal"/>
                          <w:widowControl w:val="false"/>
                          <w:spacing w:lineRule="exact" w:line="36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</w:p>
                      <w:p>
                        <w:pPr>
                          <w:pStyle w:val="Heading2"/>
                          <w:jc w:val="center"/>
                          <w:rPr/>
                        </w:pPr>
                        <w:r>
                          <w:rPr/>
                        </w:r>
                      </w:p>
                    </w:txbxContent>
                  </v:textbox>
                  <w10:wrap type="none"/>
                </v:rect>
                <v:rect id="shape_0" path="m0,0l-2147483645,0l-2147483645,-2147483646l0,-2147483646xe" stroked="f" o:allowincell="f" style="position:absolute;left:419;top:780;width:2406;height:360;mso-wrap-style:square;v-text-anchor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pPr>
                          <w:pStyle w:val="Normal"/>
                          <w:rPr/>
                        </w:pPr>
                        <w:r>
                          <w:rPr/>
                        </w:r>
                      </w:p>
                    </w:txbxContent>
                  </v:textbox>
                  <w10:wrap type="none"/>
                </v:rect>
                <v:rect id="shape_0" path="m0,0l-2147483645,0l-2147483645,-2147483646l0,-2147483646xe" fillcolor="white" stroked="f" o:allowincell="f" style="position:absolute;left:7804;top:784;width:1697;height:360;mso-wrap-style:square;v-text-anchor:top">
                  <v:fill o:detectmouseclick="t" type="solid" color2="black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pPr>
                          <w:pStyle w:val="Normal"/>
                          <w:rPr/>
                        </w:pPr>
                        <w:r>
                          <w:rPr/>
                        </w:r>
                      </w:p>
                    </w:txbxContent>
                  </v:textbox>
                  <w10:wrap type="none"/>
                </v:rect>
              </v:group>
            </w:pict>
          </mc:Fallback>
        </mc:AlternateContent>
        <w:drawing>
          <wp:anchor behindDoc="0" distT="0" distB="0" distL="0" distR="0" simplePos="0" locked="0" layoutInCell="1" allowOverlap="1" relativeHeight="7">
            <wp:simplePos x="0" y="0"/>
            <wp:positionH relativeFrom="column">
              <wp:posOffset>2950845</wp:posOffset>
            </wp:positionH>
            <wp:positionV relativeFrom="paragraph">
              <wp:posOffset>-547370</wp:posOffset>
            </wp:positionV>
            <wp:extent cx="407035" cy="495300"/>
            <wp:effectExtent l="0" t="0" r="0" b="0"/>
            <wp:wrapNone/>
            <wp:docPr id="5" name="_x005F_x0000_s205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_x005F_x0000_s2050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BodyText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BodyText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jc w:val="both"/>
        <w:rPr>
          <w:sz w:val="24"/>
          <w:lang w:val="en-US"/>
        </w:rPr>
      </w:pPr>
      <w:r>
        <w:rPr>
          <w:sz w:val="24"/>
          <w:lang w:val="en-US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3"/>
        <w:spacing w:lineRule="exact" w:line="240"/>
        <w:rPr>
          <w:b/>
          <w:bCs/>
        </w:rPr>
      </w:pPr>
      <w:r>
        <w:rPr>
          <w:b/>
          <w:bCs/>
        </w:rPr>
      </w:r>
    </w:p>
    <w:p>
      <w:pPr>
        <w:pStyle w:val="Style23"/>
        <w:spacing w:lineRule="exact" w:line="240"/>
        <w:rPr>
          <w:b/>
          <w:bCs/>
        </w:rPr>
      </w:pPr>
      <w:r>
        <w:rPr>
          <w:b/>
          <w:bCs/>
        </w:rPr>
      </w:r>
      <w:bookmarkStart w:id="0" w:name="_Hlk345729"/>
      <w:bookmarkStart w:id="1" w:name="_Hlk345729"/>
      <w:bookmarkEnd w:id="1"/>
    </w:p>
    <w:p>
      <w:pPr>
        <w:pStyle w:val="Style23"/>
        <w:spacing w:lineRule="exact" w:line="240"/>
        <w:jc w:val="center"/>
        <w:rPr>
          <w:b/>
        </w:rPr>
      </w:pPr>
      <w:r>
        <w:rPr>
          <w:b/>
        </w:rPr>
      </w:r>
    </w:p>
    <w:p>
      <w:pPr>
        <w:pStyle w:val="Style23"/>
        <w:spacing w:lineRule="exact" w:line="240"/>
        <w:jc w:val="center"/>
        <w:rPr>
          <w:b/>
        </w:rPr>
      </w:pPr>
      <w:r>
        <w:rPr>
          <w:b/>
        </w:rPr>
      </w:r>
    </w:p>
    <w:p>
      <w:pPr>
        <w:pStyle w:val="Style23"/>
        <w:spacing w:lineRule="exact" w:line="240"/>
        <w:jc w:val="center"/>
        <w:rPr>
          <w:b/>
        </w:rPr>
      </w:pPr>
      <w:r>
        <w:rPr>
          <w:b/>
        </w:rPr>
      </w:r>
    </w:p>
    <w:p>
      <w:pPr>
        <w:pStyle w:val="Normal"/>
        <w:spacing w:lineRule="exact" w:line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Методику расчета нормативных затрат </w:t>
      </w:r>
    </w:p>
    <w:p>
      <w:pPr>
        <w:pStyle w:val="Normal"/>
        <w:spacing w:lineRule="exact" w:line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выполнение муниципальной работы </w:t>
      </w:r>
      <w:r>
        <w:rPr>
          <w:b/>
          <w:bCs/>
          <w:sz w:val="28"/>
          <w:szCs w:val="28"/>
        </w:rPr>
        <w:t xml:space="preserve">«Организация и проведение  культурно-массовых мероприятий» (публичные лекции) </w:t>
      </w:r>
    </w:p>
    <w:p>
      <w:pPr>
        <w:pStyle w:val="Normal"/>
        <w:spacing w:lineRule="exact" w:line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 нормативных затрат на содержание муниципального имущества, уплату </w:t>
      </w:r>
    </w:p>
    <w:p>
      <w:pPr>
        <w:pStyle w:val="Normal"/>
        <w:spacing w:lineRule="exact" w:line="240"/>
        <w:jc w:val="center"/>
        <w:rPr/>
      </w:pPr>
      <w:r>
        <w:rPr>
          <w:b/>
          <w:bCs/>
          <w:sz w:val="28"/>
          <w:szCs w:val="28"/>
        </w:rPr>
        <w:t xml:space="preserve">налогов» </w:t>
      </w:r>
      <w:r>
        <w:rPr>
          <w:b/>
          <w:sz w:val="28"/>
          <w:szCs w:val="28"/>
        </w:rPr>
        <w:t xml:space="preserve">утвержденную постановлением администрации города Перми </w:t>
      </w:r>
    </w:p>
    <w:p>
      <w:pPr>
        <w:pStyle w:val="Normal"/>
        <w:spacing w:lineRule="exact" w:line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24 .08.2016 № 623</w:t>
      </w:r>
    </w:p>
    <w:p>
      <w:pPr>
        <w:pStyle w:val="Normal"/>
        <w:spacing w:lineRule="exact" w:line="2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Style23"/>
        <w:spacing w:lineRule="exact" w:line="240"/>
        <w:rPr>
          <w:b/>
        </w:rPr>
      </w:pPr>
      <w:r>
        <w:rPr>
          <w:b/>
        </w:rPr>
      </w:r>
    </w:p>
    <w:p>
      <w:pPr>
        <w:pStyle w:val="Style23"/>
        <w:spacing w:lineRule="exact" w:line="240"/>
        <w:rPr>
          <w:b/>
        </w:rPr>
      </w:pPr>
      <w:r>
        <w:rPr>
          <w:b/>
        </w:rPr>
      </w:r>
    </w:p>
    <w:p>
      <w:pPr>
        <w:pStyle w:val="Style23"/>
        <w:spacing w:lineRule="exact" w:line="240"/>
        <w:rPr>
          <w:b/>
        </w:rPr>
      </w:pPr>
      <w:r>
        <w:rPr>
          <w:b/>
        </w:rPr>
      </w:r>
    </w:p>
    <w:p>
      <w:pPr>
        <w:pStyle w:val="Normal"/>
        <w:ind w:firstLine="720" w:right="0"/>
        <w:jc w:val="both"/>
        <w:rPr/>
      </w:pPr>
      <w:r>
        <w:rPr>
          <w:sz w:val="28"/>
          <w:szCs w:val="24"/>
        </w:rPr>
        <w:t xml:space="preserve">В соответствии </w:t>
      </w:r>
      <w:r>
        <w:rPr>
          <w:sz w:val="28"/>
          <w:szCs w:val="28"/>
        </w:rPr>
        <w:t>с Бюджетным кодексом Российской Федерации, постановлением администрации города Перми от 30 ноября 2007 г. № 502 «О Порядке формирования, размещения, финансового обеспечения и контроля выполнения муниципального задания на оказание муниципальных услуг (выполнение работ)», в целях актуализации нормативных правовых актов города Перми</w:t>
      </w:r>
    </w:p>
    <w:p>
      <w:pPr>
        <w:pStyle w:val="Normal"/>
        <w:jc w:val="both"/>
        <w:rPr>
          <w:sz w:val="28"/>
          <w:szCs w:val="24"/>
        </w:rPr>
      </w:pPr>
      <w:r>
        <w:rPr>
          <w:sz w:val="28"/>
          <w:szCs w:val="24"/>
        </w:rPr>
        <w:t>администрация города Перми ПОСТАНОВЛЯЕТ:</w:t>
      </w:r>
    </w:p>
    <w:p>
      <w:pPr>
        <w:pStyle w:val="ConsPlusNormal"/>
        <w:ind w:firstLine="540" w:right="0"/>
        <w:jc w:val="both"/>
        <w:rPr/>
      </w:pPr>
      <w:bookmarkStart w:id="2" w:name="_Hlk501457340"/>
      <w:bookmarkEnd w:id="2"/>
      <w:r>
        <w:rPr>
          <w:sz w:val="28"/>
        </w:rPr>
        <w:t xml:space="preserve">1. </w:t>
      </w:r>
      <w:bookmarkStart w:id="3" w:name="_Hlk2329985"/>
      <w:r>
        <w:rPr>
          <w:sz w:val="28"/>
          <w:szCs w:val="28"/>
        </w:rPr>
        <w:t xml:space="preserve">Внести в </w:t>
      </w:r>
      <w:r>
        <w:rPr>
          <w:sz w:val="28"/>
        </w:rPr>
        <w:t xml:space="preserve">Методику расчета нормативных затрат на оказание муниципальной </w:t>
      </w:r>
      <w:bookmarkStart w:id="4" w:name="_Hlk191560233"/>
      <w:r>
        <w:rPr>
          <w:sz w:val="28"/>
        </w:rPr>
        <w:t xml:space="preserve">работы </w:t>
      </w:r>
      <w:r>
        <w:rPr>
          <w:sz w:val="28"/>
          <w:szCs w:val="28"/>
        </w:rPr>
        <w:t>«Организация и проведение культурно-массовых мероприятий» (публичные лекции) и нормативных затрат на содержание муниципального имущества, уплату налогов</w:t>
      </w:r>
      <w:bookmarkEnd w:id="4"/>
      <w:r>
        <w:rPr>
          <w:sz w:val="22"/>
        </w:rPr>
        <w:t xml:space="preserve">, </w:t>
      </w:r>
      <w:r>
        <w:rPr>
          <w:sz w:val="28"/>
        </w:rPr>
        <w:t>утвержденную постановлением администрации города Перми от 24 августа 2016 г. № 623</w:t>
      </w:r>
      <w:r>
        <w:rPr>
          <w:sz w:val="28"/>
          <w:szCs w:val="28"/>
        </w:rPr>
        <w:t xml:space="preserve"> (в ред. от 31.01.2017    № 57,</w:t>
      </w:r>
      <w:r>
        <w:rPr>
          <w:color w:val="392C6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 13.07.2017 № 534</w:t>
      </w:r>
      <w:r>
        <w:rPr>
          <w:sz w:val="28"/>
          <w:szCs w:val="28"/>
        </w:rPr>
        <w:t xml:space="preserve">, от 27.10.2017 № 956, 05.10.2018 № 684, от 03.04.2019 № 63-П, от 26.08.2020 № 753, от 11.08.2021 № 593, от 20.12.2021 № 1161,              от 25.10.2022 № 1079, от 07.09.2023 № 814, от 16.09.2024 № 771, от 29.09.2025     № 686), </w:t>
      </w:r>
      <w:bookmarkStart w:id="5" w:name="_Hlk45095863"/>
      <w:bookmarkEnd w:id="3"/>
      <w:r>
        <w:rPr>
          <w:sz w:val="28"/>
        </w:rPr>
        <w:t>следующие изменения:</w:t>
      </w:r>
      <w:bookmarkEnd w:id="5"/>
    </w:p>
    <w:p>
      <w:pPr>
        <w:pStyle w:val="Normal"/>
        <w:ind w:firstLine="709" w:right="0"/>
        <w:jc w:val="both"/>
        <w:rPr/>
      </w:pPr>
      <w:bookmarkStart w:id="6" w:name="_Hlk501457340_Копия_1"/>
      <w:bookmarkEnd w:id="6"/>
      <w:r>
        <w:rPr>
          <w:sz w:val="28"/>
          <w:szCs w:val="24"/>
        </w:rPr>
        <w:t xml:space="preserve">1.1. </w:t>
      </w:r>
      <w:bookmarkStart w:id="7" w:name="_Hlk174275204"/>
      <w:r>
        <w:rPr>
          <w:sz w:val="28"/>
          <w:szCs w:val="24"/>
        </w:rPr>
        <w:t>в абзаце четвертом пункта 3.1</w:t>
      </w:r>
      <w:bookmarkEnd w:id="7"/>
      <w:r>
        <w:rPr>
          <w:sz w:val="28"/>
          <w:szCs w:val="24"/>
        </w:rPr>
        <w:t xml:space="preserve"> цифры «94 980» заменить цифрами «100 400»;</w:t>
      </w:r>
    </w:p>
    <w:p>
      <w:pPr>
        <w:pStyle w:val="Normal"/>
        <w:ind w:firstLine="709" w:right="0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1.2. в пункте 4.1: </w:t>
      </w:r>
    </w:p>
    <w:p>
      <w:pPr>
        <w:pStyle w:val="Normal"/>
        <w:ind w:firstLine="709" w:right="0"/>
        <w:jc w:val="both"/>
        <w:rPr>
          <w:sz w:val="28"/>
          <w:szCs w:val="24"/>
        </w:rPr>
      </w:pPr>
      <w:r>
        <w:rPr>
          <w:sz w:val="28"/>
          <w:szCs w:val="24"/>
        </w:rPr>
        <w:t>1.2.1. в абзаце первом слова «01 января 2016» заменить словами «01 июля 2026»;</w:t>
      </w:r>
    </w:p>
    <w:p>
      <w:pPr>
        <w:pStyle w:val="Normal"/>
        <w:ind w:firstLine="720" w:right="0"/>
        <w:rPr/>
      </w:pPr>
      <w:r>
        <w:rPr>
          <w:sz w:val="28"/>
          <w:szCs w:val="24"/>
        </w:rPr>
        <w:t xml:space="preserve">1.2.2. абзац третий </w:t>
      </w:r>
      <w:bookmarkStart w:id="8" w:name="_Hlk174352493"/>
      <w:r>
        <w:rPr>
          <w:sz w:val="28"/>
          <w:szCs w:val="24"/>
        </w:rPr>
        <w:t>признать утратившим силу;</w:t>
      </w:r>
    </w:p>
    <w:p>
      <w:pPr>
        <w:pStyle w:val="Normal"/>
        <w:ind w:firstLine="720" w:right="0"/>
        <w:jc w:val="both"/>
        <w:rPr/>
      </w:pPr>
      <w:bookmarkEnd w:id="8"/>
      <w:r>
        <w:rPr>
          <w:sz w:val="28"/>
          <w:szCs w:val="24"/>
        </w:rPr>
        <w:t>1.2.3. пункт 4.3</w:t>
      </w:r>
      <w:r>
        <w:rPr>
          <w:sz w:val="28"/>
          <w:szCs w:val="24"/>
          <w:vertAlign w:val="superscript"/>
        </w:rPr>
        <w:t>1</w:t>
      </w:r>
      <w:r>
        <w:rPr>
          <w:sz w:val="28"/>
          <w:szCs w:val="24"/>
        </w:rPr>
        <w:t xml:space="preserve"> изложить в следующей редакции:</w:t>
      </w:r>
    </w:p>
    <w:p>
      <w:pPr>
        <w:pStyle w:val="Normal"/>
        <w:ind w:firstLine="720" w:right="0"/>
        <w:jc w:val="both"/>
        <w:rPr/>
      </w:pPr>
      <w:r>
        <w:rPr>
          <w:sz w:val="28"/>
          <w:szCs w:val="24"/>
        </w:rPr>
        <w:t>4.3</w:t>
      </w:r>
      <w:r>
        <w:rPr>
          <w:sz w:val="28"/>
          <w:szCs w:val="24"/>
          <w:vertAlign w:val="superscript"/>
        </w:rPr>
        <w:t>1</w:t>
      </w:r>
      <w:r>
        <w:rPr>
          <w:sz w:val="28"/>
          <w:szCs w:val="24"/>
        </w:rPr>
        <w:t xml:space="preserve">. </w:t>
      </w:r>
      <w:r>
        <w:rPr>
          <w:sz w:val="28"/>
          <w:szCs w:val="28"/>
        </w:rPr>
        <w:t xml:space="preserve">В составе иных затрат, непосредственно связанных с оказанием муниципальной </w:t>
      </w:r>
      <w:bookmarkStart w:id="9" w:name="_Hlk191641825"/>
      <w:r>
        <w:rPr>
          <w:sz w:val="28"/>
          <w:szCs w:val="28"/>
        </w:rPr>
        <w:t>работы</w:t>
      </w:r>
      <w:bookmarkEnd w:id="9"/>
      <w:r>
        <w:rPr>
          <w:sz w:val="28"/>
          <w:szCs w:val="28"/>
        </w:rPr>
        <w:t xml:space="preserve"> (N</w:t>
      </w:r>
      <w:r>
        <w:rPr>
          <w:sz w:val="28"/>
          <w:szCs w:val="28"/>
          <w:vertAlign w:val="superscript"/>
        </w:rPr>
        <w:t>ИЗ</w:t>
      </w:r>
      <w:r>
        <w:rPr>
          <w:sz w:val="28"/>
          <w:szCs w:val="28"/>
        </w:rPr>
        <w:t>), учитываются затраты на оплату коммунальных услуг, непосредственно связанные с оказанием муниципальной работы (N</w:t>
      </w:r>
      <w:r>
        <w:rPr>
          <w:sz w:val="28"/>
          <w:szCs w:val="28"/>
          <w:vertAlign w:val="superscript"/>
        </w:rPr>
        <w:t>КУ1</w:t>
      </w:r>
      <w:r>
        <w:rPr>
          <w:sz w:val="28"/>
          <w:szCs w:val="28"/>
        </w:rPr>
        <w:t>), которые рассчитываются по следующей формуле: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/>
      </w:pPr>
      <w:r>
        <w:rPr>
          <w:sz w:val="28"/>
          <w:szCs w:val="28"/>
        </w:rPr>
        <w:t>N</w:t>
      </w:r>
      <w:r>
        <w:rPr>
          <w:sz w:val="28"/>
          <w:szCs w:val="28"/>
          <w:vertAlign w:val="superscript"/>
        </w:rPr>
        <w:t>КУ1</w:t>
      </w:r>
      <w:r>
        <w:rPr>
          <w:sz w:val="28"/>
          <w:szCs w:val="28"/>
        </w:rPr>
        <w:t xml:space="preserve"> = N</w:t>
      </w:r>
      <w:r>
        <w:rPr>
          <w:sz w:val="28"/>
          <w:szCs w:val="28"/>
          <w:vertAlign w:val="subscript"/>
        </w:rPr>
        <w:t>эл1</w:t>
      </w:r>
      <w:r>
        <w:rPr>
          <w:sz w:val="28"/>
          <w:szCs w:val="28"/>
        </w:rPr>
        <w:t xml:space="preserve"> + N</w:t>
      </w:r>
      <w:r>
        <w:rPr>
          <w:sz w:val="28"/>
          <w:szCs w:val="28"/>
          <w:vertAlign w:val="subscript"/>
        </w:rPr>
        <w:t>тепло1</w:t>
      </w:r>
      <w:r>
        <w:rPr>
          <w:sz w:val="28"/>
          <w:szCs w:val="28"/>
        </w:rPr>
        <w:t xml:space="preserve"> + N</w:t>
      </w:r>
      <w:r>
        <w:rPr>
          <w:sz w:val="28"/>
          <w:szCs w:val="28"/>
          <w:vertAlign w:val="subscript"/>
        </w:rPr>
        <w:t xml:space="preserve">вода1 </w:t>
      </w:r>
      <w:r>
        <w:rPr>
          <w:sz w:val="28"/>
          <w:szCs w:val="28"/>
        </w:rPr>
        <w:t>+ N</w:t>
      </w:r>
      <w:r>
        <w:rPr>
          <w:sz w:val="28"/>
          <w:szCs w:val="28"/>
          <w:vertAlign w:val="subscript"/>
        </w:rPr>
        <w:t>нетив1</w:t>
      </w:r>
      <w:r>
        <w:rPr>
          <w:sz w:val="28"/>
          <w:szCs w:val="28"/>
        </w:rPr>
        <w:t xml:space="preserve">, где </w:t>
      </w:r>
    </w:p>
    <w:p>
      <w:pPr>
        <w:pStyle w:val="Normal"/>
        <w:ind w:firstLine="720"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20" w:right="0"/>
        <w:jc w:val="both"/>
        <w:rPr/>
      </w:pPr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>эл1</w:t>
      </w:r>
      <w:r>
        <w:rPr>
          <w:sz w:val="28"/>
          <w:szCs w:val="28"/>
        </w:rPr>
        <w:t xml:space="preserve"> – затраты на оплату электрической энергии, непосредственно связанные с оказанием муниципальной работы;</w:t>
      </w:r>
    </w:p>
    <w:p>
      <w:pPr>
        <w:pStyle w:val="Normal"/>
        <w:ind w:firstLine="720" w:right="0"/>
        <w:jc w:val="both"/>
        <w:rPr/>
      </w:pPr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>тепло1</w:t>
      </w:r>
      <w:r>
        <w:rPr>
          <w:sz w:val="28"/>
          <w:szCs w:val="28"/>
        </w:rPr>
        <w:t xml:space="preserve"> – затраты на оплату тепловой энергии, непосредственно связанные </w:t>
        <w:br/>
        <w:t>с оказанием муниципальной работы;</w:t>
      </w:r>
    </w:p>
    <w:p>
      <w:pPr>
        <w:pStyle w:val="Normal"/>
        <w:ind w:firstLine="720" w:right="0"/>
        <w:jc w:val="both"/>
        <w:rPr/>
      </w:pPr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>вода1</w:t>
      </w:r>
      <w:r>
        <w:rPr>
          <w:sz w:val="28"/>
          <w:szCs w:val="28"/>
        </w:rPr>
        <w:t xml:space="preserve"> – затраты на оплату водоснабжения и водоотведения, непосредственно связанные с оказанием муниципальной работы;</w:t>
      </w:r>
    </w:p>
    <w:p>
      <w:pPr>
        <w:pStyle w:val="Normal"/>
        <w:ind w:firstLine="720" w:right="0"/>
        <w:jc w:val="both"/>
        <w:rPr/>
      </w:pPr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 xml:space="preserve">нетив1 </w:t>
      </w:r>
      <w:r>
        <w:rPr>
          <w:sz w:val="28"/>
          <w:szCs w:val="28"/>
        </w:rPr>
        <w:t>–</w:t>
      </w:r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 xml:space="preserve">затраты </w:t>
      </w:r>
      <w:bookmarkStart w:id="10" w:name="_Hlk167720125"/>
      <w:r>
        <w:rPr>
          <w:sz w:val="28"/>
          <w:szCs w:val="28"/>
        </w:rPr>
        <w:t>по плате за негативное воздействие на работу централизованной системы водоотведения, непосредственно связанные с оказанием муниципальной работы.</w:t>
      </w:r>
    </w:p>
    <w:p>
      <w:pPr>
        <w:pStyle w:val="Normal"/>
        <w:ind w:firstLine="720" w:right="0"/>
        <w:jc w:val="both"/>
        <w:rPr>
          <w:sz w:val="28"/>
          <w:szCs w:val="28"/>
        </w:rPr>
      </w:pPr>
      <w:bookmarkEnd w:id="10"/>
      <w:r>
        <w:rPr>
          <w:sz w:val="28"/>
          <w:szCs w:val="28"/>
        </w:rPr>
        <w:t>Затраты на коммунальные услуги, непосредственно связанные с оказанием муниципальной работы, рассчитываются по следующим формулам:</w:t>
      </w:r>
    </w:p>
    <w:p>
      <w:pPr>
        <w:pStyle w:val="Normal"/>
        <w:ind w:firstLine="720"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/>
      </w:pPr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>эл1</w:t>
      </w:r>
      <w:r>
        <w:rPr>
          <w:sz w:val="28"/>
          <w:szCs w:val="28"/>
        </w:rPr>
        <w:t xml:space="preserve"> = n</w:t>
      </w:r>
      <w:r>
        <w:rPr>
          <w:sz w:val="28"/>
          <w:szCs w:val="28"/>
          <w:vertAlign w:val="subscript"/>
        </w:rPr>
        <w:t>эл1</w:t>
      </w:r>
      <w:r>
        <w:rPr>
          <w:sz w:val="28"/>
          <w:szCs w:val="28"/>
        </w:rPr>
        <w:t xml:space="preserve"> x R</w:t>
      </w:r>
      <w:r>
        <w:rPr>
          <w:sz w:val="28"/>
          <w:szCs w:val="28"/>
          <w:vertAlign w:val="subscript"/>
        </w:rPr>
        <w:t>эл</w:t>
      </w:r>
      <w:r>
        <w:rPr>
          <w:sz w:val="28"/>
          <w:szCs w:val="28"/>
        </w:rPr>
        <w:t xml:space="preserve"> x D</w:t>
      </w:r>
      <w:r>
        <w:rPr>
          <w:sz w:val="28"/>
          <w:szCs w:val="28"/>
          <w:vertAlign w:val="subscript"/>
        </w:rPr>
        <w:t>pd</w:t>
      </w:r>
      <w:r>
        <w:rPr>
          <w:sz w:val="28"/>
          <w:szCs w:val="28"/>
        </w:rPr>
        <w:t>, где</w:t>
      </w:r>
    </w:p>
    <w:p>
      <w:pPr>
        <w:pStyle w:val="Normal"/>
        <w:ind w:firstLine="720"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20" w:right="0"/>
        <w:jc w:val="both"/>
        <w:rPr/>
      </w:pPr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>эл1</w:t>
      </w:r>
      <w:r>
        <w:rPr>
          <w:sz w:val="28"/>
          <w:szCs w:val="28"/>
        </w:rPr>
        <w:t xml:space="preserve"> – значение натуральной нормы потребления электрической энергии, используемой в процессе оказания муниципальной работы, рассчитанное как отношение объема фактически потребленной электрической энергии в </w:t>
      </w:r>
      <w:r>
        <w:rPr>
          <w:color w:val="000000"/>
          <w:sz w:val="28"/>
          <w:szCs w:val="28"/>
          <w:shd w:fill="auto" w:val="clear"/>
        </w:rPr>
        <w:t>2025</w:t>
      </w:r>
      <w:r>
        <w:rPr>
          <w:sz w:val="28"/>
          <w:szCs w:val="28"/>
        </w:rPr>
        <w:t xml:space="preserve"> году </w:t>
        <w:br/>
        <w:t>к среднему количеству участников мероприятий;</w:t>
      </w:r>
    </w:p>
    <w:p>
      <w:pPr>
        <w:pStyle w:val="Normal"/>
        <w:ind w:firstLine="720" w:right="0"/>
        <w:jc w:val="both"/>
        <w:rPr/>
      </w:pPr>
      <w:r>
        <w:rPr>
          <w:sz w:val="28"/>
          <w:szCs w:val="28"/>
        </w:rPr>
        <w:t>R</w:t>
      </w:r>
      <w:r>
        <w:rPr>
          <w:sz w:val="28"/>
          <w:szCs w:val="28"/>
          <w:vertAlign w:val="subscript"/>
        </w:rPr>
        <w:t>эл</w:t>
      </w:r>
      <w:r>
        <w:rPr>
          <w:sz w:val="28"/>
          <w:szCs w:val="28"/>
        </w:rPr>
        <w:t xml:space="preserve"> – тариф на электрическую энергию, руб.;</w:t>
      </w:r>
    </w:p>
    <w:p>
      <w:pPr>
        <w:pStyle w:val="Normal"/>
        <w:ind w:firstLine="720"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/>
      </w:pPr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>тепло1</w:t>
      </w:r>
      <w:r>
        <w:rPr>
          <w:sz w:val="28"/>
          <w:szCs w:val="28"/>
        </w:rPr>
        <w:t xml:space="preserve"> = n</w:t>
      </w:r>
      <w:r>
        <w:rPr>
          <w:sz w:val="28"/>
          <w:szCs w:val="28"/>
          <w:vertAlign w:val="subscript"/>
        </w:rPr>
        <w:t>тепло1</w:t>
      </w:r>
      <w:r>
        <w:rPr>
          <w:sz w:val="28"/>
          <w:szCs w:val="28"/>
        </w:rPr>
        <w:t xml:space="preserve"> x R</w:t>
      </w:r>
      <w:r>
        <w:rPr>
          <w:sz w:val="28"/>
          <w:szCs w:val="28"/>
          <w:vertAlign w:val="subscript"/>
        </w:rPr>
        <w:t>тепло</w:t>
      </w:r>
      <w:r>
        <w:rPr>
          <w:sz w:val="28"/>
          <w:szCs w:val="28"/>
        </w:rPr>
        <w:t xml:space="preserve"> x D</w:t>
      </w:r>
      <w:r>
        <w:rPr>
          <w:sz w:val="28"/>
          <w:szCs w:val="28"/>
          <w:vertAlign w:val="subscript"/>
        </w:rPr>
        <w:t>pd</w:t>
      </w:r>
      <w:r>
        <w:rPr>
          <w:sz w:val="28"/>
          <w:szCs w:val="28"/>
        </w:rPr>
        <w:t>, где</w:t>
      </w:r>
    </w:p>
    <w:p>
      <w:pPr>
        <w:pStyle w:val="Normal"/>
        <w:ind w:firstLine="720"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20" w:right="0"/>
        <w:jc w:val="both"/>
        <w:rPr/>
      </w:pPr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>тепло1</w:t>
      </w:r>
      <w:r>
        <w:rPr>
          <w:sz w:val="28"/>
          <w:szCs w:val="28"/>
        </w:rPr>
        <w:t xml:space="preserve"> – значение натуральной нормы потребления тепловой энергии, используемой в процессе оказания муниципальной работы, рассчитанное как отношение объема фактически потребленной тепловой энергии в </w:t>
      </w:r>
      <w:r>
        <w:rPr>
          <w:color w:val="000000"/>
          <w:sz w:val="28"/>
          <w:szCs w:val="28"/>
          <w:shd w:fill="auto" w:val="clear"/>
        </w:rPr>
        <w:t>2025</w:t>
      </w:r>
      <w:r>
        <w:rPr>
          <w:color w:val="auto"/>
          <w:sz w:val="28"/>
          <w:szCs w:val="28"/>
        </w:rPr>
        <w:t xml:space="preserve"> </w:t>
      </w:r>
      <w:r>
        <w:rPr>
          <w:sz w:val="28"/>
          <w:szCs w:val="28"/>
        </w:rPr>
        <w:t>году к среднему количеству участников мероприятий;</w:t>
      </w:r>
    </w:p>
    <w:p>
      <w:pPr>
        <w:pStyle w:val="Normal"/>
        <w:ind w:firstLine="720" w:right="0"/>
        <w:jc w:val="both"/>
        <w:rPr/>
      </w:pPr>
      <w:r>
        <w:rPr>
          <w:sz w:val="28"/>
          <w:szCs w:val="28"/>
        </w:rPr>
        <w:t>R</w:t>
      </w:r>
      <w:r>
        <w:rPr>
          <w:sz w:val="28"/>
          <w:szCs w:val="28"/>
          <w:vertAlign w:val="subscript"/>
        </w:rPr>
        <w:t>тепло</w:t>
      </w:r>
      <w:r>
        <w:rPr>
          <w:sz w:val="28"/>
          <w:szCs w:val="28"/>
        </w:rPr>
        <w:t xml:space="preserve"> – тариф на тепловую энергию, руб.;</w:t>
      </w:r>
    </w:p>
    <w:p>
      <w:pPr>
        <w:pStyle w:val="Normal"/>
        <w:ind w:firstLine="720"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/>
      </w:pPr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>вода1</w:t>
      </w:r>
      <w:r>
        <w:rPr>
          <w:sz w:val="28"/>
          <w:szCs w:val="28"/>
        </w:rPr>
        <w:t xml:space="preserve"> = n</w:t>
      </w:r>
      <w:r>
        <w:rPr>
          <w:sz w:val="28"/>
          <w:szCs w:val="28"/>
          <w:vertAlign w:val="subscript"/>
        </w:rPr>
        <w:t>вода1</w:t>
      </w:r>
      <w:r>
        <w:rPr>
          <w:sz w:val="28"/>
          <w:szCs w:val="28"/>
        </w:rPr>
        <w:t xml:space="preserve"> x R</w:t>
      </w:r>
      <w:r>
        <w:rPr>
          <w:sz w:val="28"/>
          <w:szCs w:val="28"/>
          <w:vertAlign w:val="subscript"/>
        </w:rPr>
        <w:t>вода</w:t>
      </w:r>
      <w:r>
        <w:rPr>
          <w:sz w:val="28"/>
          <w:szCs w:val="28"/>
        </w:rPr>
        <w:t xml:space="preserve"> x D</w:t>
      </w:r>
      <w:r>
        <w:rPr>
          <w:sz w:val="28"/>
          <w:szCs w:val="28"/>
          <w:vertAlign w:val="subscript"/>
        </w:rPr>
        <w:t>pd</w:t>
      </w:r>
      <w:r>
        <w:rPr>
          <w:sz w:val="28"/>
          <w:szCs w:val="28"/>
        </w:rPr>
        <w:t>, где</w:t>
      </w:r>
    </w:p>
    <w:p>
      <w:pPr>
        <w:pStyle w:val="Normal"/>
        <w:ind w:firstLine="720"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20" w:right="0"/>
        <w:jc w:val="both"/>
        <w:rPr/>
      </w:pPr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>вода1</w:t>
      </w:r>
      <w:r>
        <w:rPr>
          <w:sz w:val="28"/>
          <w:szCs w:val="28"/>
        </w:rPr>
        <w:t xml:space="preserve"> – значение натуральной нормы потребленного объема водоснабжения (водоотведения), используемого в процессе оказания муниципальной работы, рассчитанное как отношение потребленного объема водоснабжения (водоотведения) </w:t>
      </w:r>
      <w:r>
        <w:rPr>
          <w:sz w:val="28"/>
          <w:szCs w:val="28"/>
          <w:shd w:fill="auto" w:val="clear"/>
        </w:rPr>
        <w:t>в 2025</w:t>
      </w:r>
      <w:r>
        <w:rPr>
          <w:sz w:val="28"/>
          <w:szCs w:val="28"/>
        </w:rPr>
        <w:t xml:space="preserve"> году к среднему количеству участников мероприятий;</w:t>
      </w:r>
    </w:p>
    <w:p>
      <w:pPr>
        <w:pStyle w:val="Normal"/>
        <w:ind w:firstLine="720" w:right="0"/>
        <w:jc w:val="both"/>
        <w:rPr/>
      </w:pPr>
      <w:r>
        <w:rPr>
          <w:sz w:val="28"/>
          <w:szCs w:val="28"/>
        </w:rPr>
        <w:t>R</w:t>
      </w:r>
      <w:r>
        <w:rPr>
          <w:sz w:val="28"/>
          <w:szCs w:val="28"/>
          <w:vertAlign w:val="subscript"/>
        </w:rPr>
        <w:t>вода</w:t>
      </w:r>
      <w:r>
        <w:rPr>
          <w:sz w:val="28"/>
          <w:szCs w:val="28"/>
        </w:rPr>
        <w:t xml:space="preserve"> – тариф на водоснабжение (водоотведение), руб.</w:t>
      </w:r>
    </w:p>
    <w:p>
      <w:pPr>
        <w:pStyle w:val="Normal"/>
        <w:ind w:firstLine="720"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20" w:right="0"/>
        <w:jc w:val="center"/>
        <w:rPr/>
      </w:pPr>
      <w:bookmarkStart w:id="11" w:name="_Hlk167720480"/>
      <w:bookmarkEnd w:id="11"/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 xml:space="preserve">негатив1 </w:t>
      </w:r>
      <w:r>
        <w:rPr>
          <w:sz w:val="28"/>
          <w:szCs w:val="28"/>
        </w:rPr>
        <w:t>=</w:t>
      </w:r>
      <w:r>
        <w:rPr>
          <w:sz w:val="28"/>
          <w:szCs w:val="28"/>
          <w:vertAlign w:val="subscript"/>
        </w:rPr>
        <w:t xml:space="preserve">  </w:t>
      </w:r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 xml:space="preserve">негатив1 </w:t>
      </w:r>
      <w:r>
        <w:rPr>
          <w:sz w:val="28"/>
          <w:szCs w:val="28"/>
        </w:rPr>
        <w:t>х R</w:t>
      </w:r>
      <w:r>
        <w:rPr>
          <w:sz w:val="28"/>
          <w:szCs w:val="28"/>
          <w:vertAlign w:val="subscript"/>
        </w:rPr>
        <w:t xml:space="preserve">негатив1 </w:t>
      </w:r>
      <w:r>
        <w:rPr>
          <w:sz w:val="28"/>
          <w:szCs w:val="28"/>
        </w:rPr>
        <w:t>x D</w:t>
      </w:r>
      <w:r>
        <w:rPr>
          <w:sz w:val="28"/>
          <w:szCs w:val="28"/>
          <w:vertAlign w:val="subscript"/>
        </w:rPr>
        <w:t>pd</w:t>
      </w:r>
      <w:r>
        <w:rPr>
          <w:sz w:val="28"/>
          <w:szCs w:val="28"/>
        </w:rPr>
        <w:t>, где</w:t>
      </w:r>
    </w:p>
    <w:p>
      <w:pPr>
        <w:pStyle w:val="Normal"/>
        <w:ind w:firstLine="720" w:right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20" w:right="0"/>
        <w:jc w:val="both"/>
        <w:rPr/>
      </w:pPr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>негатив1</w:t>
      </w:r>
      <w:r>
        <w:rPr>
          <w:sz w:val="28"/>
          <w:szCs w:val="28"/>
        </w:rPr>
        <w:t xml:space="preserve"> – значение натуральной нормы затрат </w:t>
      </w:r>
      <w:r>
        <w:rPr>
          <w:sz w:val="28"/>
          <w:szCs w:val="24"/>
        </w:rPr>
        <w:t xml:space="preserve">по плате </w:t>
      </w:r>
      <w:r>
        <w:rPr>
          <w:sz w:val="28"/>
          <w:szCs w:val="28"/>
        </w:rPr>
        <w:t xml:space="preserve">за негативное воздействие на работу централизованной системы водоотведения, не используемых </w:t>
        <w:br/>
        <w:t xml:space="preserve">в процессе оказания муниципальной работы, рассчитанное как отношение количества единиц оказанных услуг </w:t>
      </w:r>
      <w:r>
        <w:rPr>
          <w:sz w:val="28"/>
          <w:szCs w:val="24"/>
        </w:rPr>
        <w:t xml:space="preserve">по плате </w:t>
      </w:r>
      <w:r>
        <w:rPr>
          <w:sz w:val="28"/>
          <w:szCs w:val="28"/>
        </w:rPr>
        <w:t>за негативное воздействие на работу централизованной системы водоотведения к среднему количеству участников мероприятий;</w:t>
      </w:r>
    </w:p>
    <w:p>
      <w:pPr>
        <w:pStyle w:val="Normal"/>
        <w:ind w:firstLine="720"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20" w:right="0"/>
        <w:jc w:val="both"/>
        <w:rPr/>
      </w:pPr>
      <w:r>
        <w:rPr>
          <w:sz w:val="28"/>
          <w:szCs w:val="28"/>
        </w:rPr>
        <w:t>R</w:t>
      </w:r>
      <w:r>
        <w:rPr>
          <w:sz w:val="28"/>
          <w:szCs w:val="28"/>
          <w:vertAlign w:val="subscript"/>
        </w:rPr>
        <w:t>негатив1</w:t>
      </w:r>
      <w:r>
        <w:rPr>
          <w:sz w:val="28"/>
          <w:szCs w:val="28"/>
        </w:rPr>
        <w:t xml:space="preserve"> – цена (тариф) на оказание услуг </w:t>
      </w:r>
      <w:r>
        <w:rPr>
          <w:sz w:val="28"/>
          <w:szCs w:val="24"/>
        </w:rPr>
        <w:t xml:space="preserve">по плате </w:t>
      </w:r>
      <w:r>
        <w:rPr>
          <w:sz w:val="28"/>
          <w:szCs w:val="28"/>
        </w:rPr>
        <w:t xml:space="preserve">за негативное воздействие на работу централизованной системы водоотведения (руб.). </w:t>
      </w:r>
    </w:p>
    <w:p>
      <w:pPr>
        <w:pStyle w:val="Normal"/>
        <w:ind w:firstLine="720" w:right="0"/>
        <w:jc w:val="both"/>
        <w:rPr/>
      </w:pPr>
      <w:bookmarkStart w:id="12" w:name="_Hlk167720480_Копия_1"/>
      <w:bookmarkEnd w:id="12"/>
      <w:r>
        <w:rPr>
          <w:sz w:val="28"/>
          <w:szCs w:val="28"/>
        </w:rPr>
        <w:t xml:space="preserve">Стоимость (цена, тариф) коммунальной услуги определяется в соответствии с положениями </w:t>
      </w:r>
      <w:hyperlink r:id="rId3">
        <w:r>
          <w:rPr>
            <w:rStyle w:val="Hyperlink"/>
            <w:b w:val="false"/>
            <w:bCs w:val="false"/>
            <w:color w:val="000000"/>
            <w:sz w:val="28"/>
            <w:szCs w:val="28"/>
            <w:u w:val="none"/>
          </w:rPr>
          <w:t>пункта 4.1</w:t>
        </w:r>
      </w:hyperlink>
      <w:r>
        <w:rPr>
          <w:b w:val="false"/>
          <w:bCs w:val="false"/>
          <w:color w:val="000000"/>
          <w:sz w:val="28"/>
          <w:szCs w:val="28"/>
          <w:u w:val="none"/>
        </w:rPr>
        <w:t xml:space="preserve"> н</w:t>
      </w:r>
      <w:r>
        <w:rPr>
          <w:sz w:val="28"/>
          <w:szCs w:val="28"/>
        </w:rPr>
        <w:t>астоящей Методики.</w:t>
      </w:r>
    </w:p>
    <w:p>
      <w:pPr>
        <w:pStyle w:val="Normal"/>
        <w:ind w:firstLine="720" w:right="0"/>
        <w:jc w:val="both"/>
        <w:rPr/>
      </w:pPr>
      <w:r>
        <w:rPr>
          <w:sz w:val="28"/>
          <w:szCs w:val="28"/>
        </w:rPr>
        <w:t xml:space="preserve">Затраты на оплату коммунальных услуг, непосредственно связанные с оказанием муниципальной работы, рассчитываются исходя из объемов потребления топливно-энергетических ресурсов в натуральном выражении в соответствии </w:t>
        <w:br/>
        <w:t>с</w:t>
      </w:r>
      <w:r>
        <w:rPr>
          <w:color w:val="000000"/>
          <w:sz w:val="28"/>
          <w:szCs w:val="28"/>
          <w:u w:val="none"/>
        </w:rPr>
        <w:t xml:space="preserve"> </w:t>
      </w:r>
      <w:hyperlink r:id="rId4">
        <w:r>
          <w:rPr>
            <w:rStyle w:val="Hyperlink"/>
            <w:color w:val="000000"/>
            <w:sz w:val="28"/>
            <w:szCs w:val="28"/>
            <w:u w:val="none"/>
          </w:rPr>
          <w:t>пунктом 1.3</w:t>
        </w:r>
      </w:hyperlink>
      <w:r>
        <w:rPr>
          <w:sz w:val="28"/>
          <w:szCs w:val="28"/>
        </w:rPr>
        <w:t xml:space="preserve"> настоящей Методики.»;</w:t>
      </w:r>
    </w:p>
    <w:p>
      <w:pPr>
        <w:pStyle w:val="Normal"/>
        <w:ind w:firstLine="567" w:right="0"/>
        <w:jc w:val="both"/>
        <w:rPr>
          <w:sz w:val="28"/>
          <w:szCs w:val="24"/>
        </w:rPr>
      </w:pPr>
      <w:r>
        <w:rPr>
          <w:sz w:val="28"/>
          <w:szCs w:val="24"/>
        </w:rPr>
        <w:t>1.3. в пункте 4.5:</w:t>
      </w:r>
    </w:p>
    <w:p>
      <w:pPr>
        <w:pStyle w:val="Normal"/>
        <w:ind w:firstLine="567" w:right="0"/>
        <w:jc w:val="both"/>
        <w:rPr>
          <w:sz w:val="28"/>
          <w:szCs w:val="24"/>
        </w:rPr>
      </w:pPr>
      <w:r>
        <w:rPr>
          <w:sz w:val="28"/>
          <w:szCs w:val="24"/>
        </w:rPr>
        <w:t>1.3.1. абзац второй изложить в следующей редакции:</w:t>
      </w:r>
    </w:p>
    <w:p>
      <w:pPr>
        <w:pStyle w:val="Normal"/>
        <w:ind w:firstLine="567" w:right="0"/>
        <w:jc w:val="both"/>
        <w:rPr>
          <w:sz w:val="28"/>
          <w:szCs w:val="24"/>
        </w:rPr>
      </w:pPr>
      <w:r>
        <w:rPr>
          <w:sz w:val="28"/>
          <w:szCs w:val="24"/>
        </w:rPr>
      </w:r>
    </w:p>
    <w:p>
      <w:pPr>
        <w:pStyle w:val="Normal"/>
        <w:ind w:firstLine="567" w:right="0"/>
        <w:jc w:val="center"/>
        <w:rPr/>
      </w:pPr>
      <w:r>
        <w:rPr>
          <w:sz w:val="28"/>
          <w:szCs w:val="24"/>
        </w:rPr>
        <w:t>«</w:t>
      </w:r>
      <w:r>
        <w:rPr>
          <w:sz w:val="28"/>
          <w:szCs w:val="28"/>
        </w:rPr>
        <w:t>N</w:t>
      </w:r>
      <w:r>
        <w:rPr>
          <w:sz w:val="28"/>
          <w:szCs w:val="28"/>
          <w:vertAlign w:val="superscript"/>
        </w:rPr>
        <w:t>КУ2</w:t>
      </w:r>
      <w:r>
        <w:rPr>
          <w:sz w:val="28"/>
          <w:szCs w:val="28"/>
        </w:rPr>
        <w:t xml:space="preserve"> = N</w:t>
      </w:r>
      <w:r>
        <w:rPr>
          <w:sz w:val="28"/>
          <w:szCs w:val="28"/>
          <w:vertAlign w:val="subscript"/>
        </w:rPr>
        <w:t>эл2</w:t>
      </w:r>
      <w:r>
        <w:rPr>
          <w:sz w:val="28"/>
          <w:szCs w:val="28"/>
        </w:rPr>
        <w:t xml:space="preserve"> + N</w:t>
      </w:r>
      <w:r>
        <w:rPr>
          <w:sz w:val="28"/>
          <w:szCs w:val="28"/>
          <w:vertAlign w:val="subscript"/>
        </w:rPr>
        <w:t>тепло2</w:t>
      </w:r>
      <w:r>
        <w:rPr>
          <w:sz w:val="28"/>
          <w:szCs w:val="28"/>
        </w:rPr>
        <w:t xml:space="preserve"> + N</w:t>
      </w:r>
      <w:r>
        <w:rPr>
          <w:sz w:val="28"/>
          <w:szCs w:val="28"/>
          <w:vertAlign w:val="subscript"/>
        </w:rPr>
        <w:t>вода2</w:t>
      </w:r>
      <w:r>
        <w:rPr>
          <w:sz w:val="28"/>
          <w:szCs w:val="28"/>
        </w:rPr>
        <w:t xml:space="preserve"> + N</w:t>
      </w:r>
      <w:r>
        <w:rPr>
          <w:sz w:val="28"/>
          <w:szCs w:val="28"/>
          <w:vertAlign w:val="subscript"/>
        </w:rPr>
        <w:t xml:space="preserve">нетив2 </w:t>
      </w:r>
      <w:r>
        <w:rPr>
          <w:sz w:val="28"/>
          <w:szCs w:val="28"/>
        </w:rPr>
        <w:t>+ N</w:t>
      </w:r>
      <w:r>
        <w:rPr>
          <w:sz w:val="28"/>
          <w:szCs w:val="28"/>
          <w:vertAlign w:val="subscript"/>
        </w:rPr>
        <w:t>тко</w:t>
      </w:r>
      <w:r>
        <w:rPr>
          <w:sz w:val="28"/>
          <w:szCs w:val="28"/>
        </w:rPr>
        <w:t>, где</w:t>
      </w:r>
      <w:r>
        <w:rPr>
          <w:sz w:val="28"/>
          <w:szCs w:val="24"/>
        </w:rPr>
        <w:t>»;</w:t>
      </w:r>
    </w:p>
    <w:p>
      <w:pPr>
        <w:pStyle w:val="Normal"/>
        <w:ind w:firstLine="567" w:right="0"/>
        <w:jc w:val="center"/>
        <w:rPr>
          <w:sz w:val="28"/>
          <w:szCs w:val="24"/>
        </w:rPr>
      </w:pPr>
      <w:r>
        <w:rPr>
          <w:sz w:val="28"/>
          <w:szCs w:val="24"/>
        </w:rPr>
      </w:r>
    </w:p>
    <w:p>
      <w:pPr>
        <w:pStyle w:val="Normal"/>
        <w:ind w:firstLine="567" w:right="0"/>
        <w:rPr/>
      </w:pPr>
      <w:r>
        <w:rPr>
          <w:sz w:val="28"/>
          <w:szCs w:val="24"/>
        </w:rPr>
        <w:t xml:space="preserve">1.3.2. </w:t>
      </w:r>
      <w:r>
        <w:rPr>
          <w:sz w:val="28"/>
          <w:szCs w:val="28"/>
        </w:rPr>
        <w:t xml:space="preserve">после </w:t>
      </w:r>
      <w:bookmarkStart w:id="13" w:name="_Hlk191570047"/>
      <w:r>
        <w:rPr>
          <w:sz w:val="28"/>
          <w:szCs w:val="28"/>
        </w:rPr>
        <w:t>абзаца пятого дополнить абзацем следующего содержания:</w:t>
      </w:r>
      <w:bookmarkEnd w:id="13"/>
    </w:p>
    <w:p>
      <w:pPr>
        <w:pStyle w:val="Normal"/>
        <w:ind w:firstLine="567" w:right="0"/>
        <w:jc w:val="both"/>
        <w:rPr/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«</w:t>
      </w:r>
      <w:bookmarkStart w:id="14" w:name="_Hlk167719586"/>
      <w:bookmarkStart w:id="15" w:name="_Hlk167719556"/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>нетив2</w:t>
      </w:r>
      <w:bookmarkEnd w:id="15"/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>–</w:t>
      </w:r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>затраты по плате за негативное воздействие на работу централизованной системы водоотведения, за исключением затрат, непосредственно связанных с выполнением муниципальной работы;</w:t>
      </w:r>
    </w:p>
    <w:p>
      <w:pPr>
        <w:pStyle w:val="Normal"/>
        <w:ind w:firstLine="567" w:right="0"/>
        <w:jc w:val="both"/>
        <w:rPr/>
      </w:pPr>
      <w:bookmarkEnd w:id="14"/>
      <w:r>
        <w:rPr>
          <w:sz w:val="28"/>
          <w:szCs w:val="28"/>
        </w:rPr>
        <w:t xml:space="preserve">1.3.3. </w:t>
      </w:r>
      <w:r>
        <w:rPr>
          <w:sz w:val="28"/>
          <w:szCs w:val="24"/>
        </w:rPr>
        <w:t xml:space="preserve">в абзаце девятом цифры «2015» заменить цифрами </w:t>
      </w:r>
      <w:r>
        <w:rPr>
          <w:color w:val="000000"/>
          <w:sz w:val="28"/>
          <w:szCs w:val="24"/>
          <w:shd w:fill="auto" w:val="clear"/>
        </w:rPr>
        <w:t>«2025»;</w:t>
      </w:r>
    </w:p>
    <w:p>
      <w:pPr>
        <w:pStyle w:val="Normal"/>
        <w:ind w:firstLine="567" w:right="0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4"/>
          <w:shd w:fill="auto" w:val="clear"/>
        </w:rPr>
        <w:t>1.3.4. в абзаце двенадцатом «2015» заменить цифрами «2025»;</w:t>
      </w:r>
    </w:p>
    <w:p>
      <w:pPr>
        <w:pStyle w:val="Normal"/>
        <w:ind w:firstLine="567" w:right="0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4"/>
          <w:shd w:fill="auto" w:val="clear"/>
        </w:rPr>
        <w:t>1.3.5. в абзаце пятнадцатом «2015» заменить цифрами «2025»;</w:t>
      </w:r>
    </w:p>
    <w:p>
      <w:pPr>
        <w:pStyle w:val="Normal"/>
        <w:ind w:firstLine="567" w:right="0"/>
        <w:jc w:val="both"/>
        <w:rPr/>
      </w:pPr>
      <w:r>
        <w:rPr>
          <w:sz w:val="28"/>
          <w:szCs w:val="24"/>
        </w:rPr>
        <w:t xml:space="preserve">1.3.6. после </w:t>
      </w:r>
      <w:r>
        <w:rPr>
          <w:sz w:val="28"/>
          <w:szCs w:val="28"/>
        </w:rPr>
        <w:t>абзаца шестнадцатого дополнить абзацами семнадцатым, восемнадцатым, девятнадцатым следующего содержания:</w:t>
      </w:r>
    </w:p>
    <w:p>
      <w:pPr>
        <w:pStyle w:val="Normal"/>
        <w:ind w:firstLine="567" w:right="0"/>
        <w:jc w:val="both"/>
        <w:rPr>
          <w:sz w:val="28"/>
          <w:szCs w:val="24"/>
        </w:rPr>
      </w:pPr>
      <w:r>
        <w:rPr>
          <w:sz w:val="28"/>
          <w:szCs w:val="24"/>
        </w:rPr>
      </w:r>
    </w:p>
    <w:p>
      <w:pPr>
        <w:pStyle w:val="Normal"/>
        <w:ind w:firstLine="720" w:right="0"/>
        <w:jc w:val="center"/>
        <w:rPr/>
      </w:pPr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 xml:space="preserve">негатив2 </w:t>
      </w:r>
      <w:r>
        <w:rPr>
          <w:sz w:val="28"/>
          <w:szCs w:val="28"/>
        </w:rPr>
        <w:t>=</w:t>
      </w:r>
      <w:r>
        <w:rPr>
          <w:sz w:val="28"/>
          <w:szCs w:val="28"/>
          <w:vertAlign w:val="subscript"/>
        </w:rPr>
        <w:t xml:space="preserve">  </w:t>
      </w:r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 xml:space="preserve">негатив2 </w:t>
      </w:r>
      <w:r>
        <w:rPr>
          <w:sz w:val="28"/>
          <w:szCs w:val="28"/>
        </w:rPr>
        <w:t>х R</w:t>
      </w:r>
      <w:r>
        <w:rPr>
          <w:sz w:val="28"/>
          <w:szCs w:val="28"/>
          <w:vertAlign w:val="subscript"/>
        </w:rPr>
        <w:t xml:space="preserve">негатив2 </w:t>
      </w:r>
      <w:r>
        <w:rPr>
          <w:sz w:val="28"/>
          <w:szCs w:val="28"/>
        </w:rPr>
        <w:t>x D</w:t>
      </w:r>
      <w:r>
        <w:rPr>
          <w:sz w:val="28"/>
          <w:szCs w:val="28"/>
          <w:vertAlign w:val="subscript"/>
        </w:rPr>
        <w:t>pd</w:t>
      </w:r>
      <w:r>
        <w:rPr>
          <w:sz w:val="28"/>
          <w:szCs w:val="28"/>
        </w:rPr>
        <w:t>, где</w:t>
      </w:r>
    </w:p>
    <w:p>
      <w:pPr>
        <w:pStyle w:val="Normal"/>
        <w:ind w:firstLine="720" w:right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20" w:right="0"/>
        <w:jc w:val="both"/>
        <w:rPr/>
      </w:pPr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>негатив2</w:t>
      </w:r>
      <w:r>
        <w:rPr>
          <w:sz w:val="28"/>
          <w:szCs w:val="28"/>
        </w:rPr>
        <w:t xml:space="preserve"> – значение натуральной нормы </w:t>
      </w:r>
      <w:bookmarkStart w:id="16" w:name="_Hlk167720806"/>
      <w:r>
        <w:rPr>
          <w:sz w:val="28"/>
          <w:szCs w:val="28"/>
        </w:rPr>
        <w:t xml:space="preserve">затрат </w:t>
      </w:r>
      <w:r>
        <w:rPr>
          <w:sz w:val="28"/>
          <w:szCs w:val="24"/>
        </w:rPr>
        <w:t xml:space="preserve">по плате услуг </w:t>
      </w:r>
      <w:r>
        <w:rPr>
          <w:sz w:val="28"/>
          <w:szCs w:val="28"/>
        </w:rPr>
        <w:t>за негативное воздействие на работу централизованной системы водоотведения</w:t>
      </w:r>
      <w:bookmarkEnd w:id="16"/>
      <w:r>
        <w:rPr>
          <w:sz w:val="28"/>
          <w:szCs w:val="28"/>
        </w:rPr>
        <w:t xml:space="preserve">, не используемых в процессе выполнения муниципальной работы, рассчитанное как отношение количества единиц оказанных услуг </w:t>
      </w:r>
      <w:r>
        <w:rPr>
          <w:sz w:val="28"/>
          <w:szCs w:val="24"/>
        </w:rPr>
        <w:t xml:space="preserve">по плате </w:t>
      </w:r>
      <w:r>
        <w:rPr>
          <w:sz w:val="28"/>
          <w:szCs w:val="28"/>
        </w:rPr>
        <w:t>за негативное воздействие на работу централизованной системы водоотведения к среднему количеству мероприятий за отчетный финансовый год;</w:t>
      </w:r>
    </w:p>
    <w:p>
      <w:pPr>
        <w:pStyle w:val="Normal"/>
        <w:ind w:firstLine="720" w:right="0"/>
        <w:jc w:val="both"/>
        <w:rPr/>
      </w:pPr>
      <w:r>
        <w:rPr>
          <w:sz w:val="28"/>
          <w:szCs w:val="28"/>
        </w:rPr>
        <w:t>R</w:t>
      </w:r>
      <w:r>
        <w:rPr>
          <w:sz w:val="28"/>
          <w:szCs w:val="28"/>
          <w:vertAlign w:val="subscript"/>
        </w:rPr>
        <w:t>негатив2</w:t>
      </w:r>
      <w:r>
        <w:rPr>
          <w:sz w:val="28"/>
          <w:szCs w:val="28"/>
        </w:rPr>
        <w:t xml:space="preserve"> – цена (тариф) на оказание услуг </w:t>
      </w:r>
      <w:r>
        <w:rPr>
          <w:sz w:val="28"/>
          <w:szCs w:val="24"/>
        </w:rPr>
        <w:t xml:space="preserve">по плате </w:t>
      </w:r>
      <w:r>
        <w:rPr>
          <w:sz w:val="28"/>
          <w:szCs w:val="28"/>
        </w:rPr>
        <w:t xml:space="preserve">за негативное воздействие на работу централизованной системы водоотведения (руб.). </w:t>
      </w:r>
    </w:p>
    <w:p>
      <w:pPr>
        <w:pStyle w:val="Normal"/>
        <w:ind w:firstLine="720" w:right="0"/>
        <w:jc w:val="both"/>
        <w:rPr>
          <w:sz w:val="28"/>
          <w:szCs w:val="28"/>
        </w:rPr>
      </w:pPr>
      <w:r>
        <w:rPr>
          <w:sz w:val="28"/>
          <w:szCs w:val="28"/>
        </w:rPr>
        <w:t>1.4. в пункте 4.6:</w:t>
      </w:r>
    </w:p>
    <w:p>
      <w:pPr>
        <w:pStyle w:val="Normal"/>
        <w:ind w:firstLine="720" w:right="0"/>
        <w:jc w:val="both"/>
        <w:rPr/>
      </w:pPr>
      <w:r>
        <w:rPr>
          <w:sz w:val="28"/>
          <w:szCs w:val="28"/>
        </w:rPr>
        <w:t>1.4.1.</w:t>
      </w:r>
      <w:r>
        <w:rPr>
          <w:sz w:val="28"/>
          <w:szCs w:val="24"/>
        </w:rPr>
        <w:t xml:space="preserve"> </w:t>
      </w:r>
      <w:bookmarkStart w:id="17" w:name="_Hlk174277915"/>
      <w:r>
        <w:rPr>
          <w:sz w:val="28"/>
          <w:szCs w:val="24"/>
        </w:rPr>
        <w:t xml:space="preserve">в абзаце седьмом дополнить словом «и </w:t>
      </w:r>
      <w:r>
        <w:rPr>
          <w:sz w:val="28"/>
          <w:szCs w:val="28"/>
        </w:rPr>
        <w:t>дезинсекция»</w:t>
      </w:r>
      <w:r>
        <w:rPr>
          <w:sz w:val="28"/>
          <w:szCs w:val="24"/>
        </w:rPr>
        <w:t>;</w:t>
      </w:r>
    </w:p>
    <w:p>
      <w:pPr>
        <w:pStyle w:val="Normal"/>
        <w:ind w:firstLine="720" w:right="0"/>
        <w:jc w:val="both"/>
        <w:rPr>
          <w:sz w:val="28"/>
          <w:szCs w:val="24"/>
        </w:rPr>
      </w:pPr>
      <w:bookmarkEnd w:id="17"/>
      <w:r>
        <w:rPr>
          <w:sz w:val="28"/>
          <w:szCs w:val="24"/>
        </w:rPr>
        <w:t>1.4.2. абзацы восьмой, девятый признать утратившими силу;</w:t>
      </w:r>
    </w:p>
    <w:p>
      <w:pPr>
        <w:pStyle w:val="Normal"/>
        <w:ind w:firstLine="720" w:right="0"/>
        <w:jc w:val="both"/>
        <w:rPr/>
      </w:pPr>
      <w:r>
        <w:rPr>
          <w:sz w:val="28"/>
          <w:szCs w:val="24"/>
        </w:rPr>
        <w:t xml:space="preserve">1.4.2. абзац </w:t>
      </w:r>
      <w:r>
        <w:rPr>
          <w:sz w:val="28"/>
          <w:szCs w:val="28"/>
        </w:rPr>
        <w:t>одиннадцатый</w:t>
      </w:r>
      <w:r>
        <w:rPr>
          <w:sz w:val="28"/>
          <w:szCs w:val="24"/>
        </w:rPr>
        <w:t xml:space="preserve"> признать утратившим силу;</w:t>
      </w:r>
    </w:p>
    <w:p>
      <w:pPr>
        <w:pStyle w:val="Normal"/>
        <w:ind w:firstLine="720" w:right="0"/>
        <w:jc w:val="both"/>
        <w:rPr/>
      </w:pPr>
      <w:r>
        <w:rPr>
          <w:sz w:val="28"/>
          <w:szCs w:val="28"/>
        </w:rPr>
        <w:t xml:space="preserve">1.4.3. </w:t>
      </w:r>
      <w:r>
        <w:rPr>
          <w:sz w:val="28"/>
          <w:szCs w:val="24"/>
        </w:rPr>
        <w:t xml:space="preserve">после абзаца одиннадцатого дополнить абзацем следующего содержания: </w:t>
      </w:r>
    </w:p>
    <w:p>
      <w:pPr>
        <w:pStyle w:val="Normal"/>
        <w:ind w:firstLine="720" w:right="0"/>
        <w:jc w:val="both"/>
        <w:rPr>
          <w:sz w:val="28"/>
          <w:szCs w:val="28"/>
        </w:rPr>
      </w:pPr>
      <w:r>
        <w:rPr>
          <w:sz w:val="28"/>
          <w:szCs w:val="28"/>
        </w:rPr>
        <w:t>«ремонт, сервисное обслуживание компьютерной техники и иной оргтехники.»;</w:t>
      </w:r>
    </w:p>
    <w:p>
      <w:pPr>
        <w:pStyle w:val="Normal"/>
        <w:ind w:firstLine="720" w:right="0"/>
        <w:jc w:val="both"/>
        <w:rPr>
          <w:sz w:val="28"/>
          <w:szCs w:val="28"/>
        </w:rPr>
      </w:pPr>
      <w:r>
        <w:rPr>
          <w:sz w:val="28"/>
          <w:szCs w:val="28"/>
        </w:rPr>
        <w:t>1.5. в пункте 4.7:</w:t>
      </w:r>
    </w:p>
    <w:p>
      <w:pPr>
        <w:pStyle w:val="Normal"/>
        <w:ind w:firstLine="720" w:right="0"/>
        <w:jc w:val="both"/>
        <w:rPr/>
      </w:pPr>
      <w:r>
        <w:rPr>
          <w:sz w:val="28"/>
          <w:szCs w:val="28"/>
        </w:rPr>
        <w:t xml:space="preserve">1.5.1. </w:t>
      </w:r>
      <w:r>
        <w:rPr>
          <w:sz w:val="28"/>
          <w:szCs w:val="24"/>
        </w:rPr>
        <w:t>абзацы седьмой – десятый признать утратившими силу;</w:t>
      </w:r>
    </w:p>
    <w:p>
      <w:pPr>
        <w:pStyle w:val="Normal"/>
        <w:ind w:firstLine="720" w:right="0"/>
        <w:jc w:val="both"/>
        <w:rPr>
          <w:sz w:val="28"/>
          <w:szCs w:val="24"/>
        </w:rPr>
      </w:pPr>
      <w:r>
        <w:rPr>
          <w:sz w:val="28"/>
          <w:szCs w:val="24"/>
        </w:rPr>
        <w:t>1.5.2. после абзаца десятого дополнить абзацами следующего содержания:</w:t>
      </w:r>
    </w:p>
    <w:p>
      <w:pPr>
        <w:pStyle w:val="Normal"/>
        <w:ind w:firstLine="720" w:right="0"/>
        <w:jc w:val="both"/>
        <w:rPr>
          <w:sz w:val="28"/>
          <w:szCs w:val="28"/>
        </w:rPr>
      </w:pPr>
      <w:r>
        <w:rPr>
          <w:sz w:val="28"/>
          <w:szCs w:val="28"/>
        </w:rPr>
        <w:t>«техническое обслуживание систем оповещения;</w:t>
      </w:r>
    </w:p>
    <w:p>
      <w:pPr>
        <w:pStyle w:val="Normal"/>
        <w:ind w:firstLine="720" w:right="0"/>
        <w:jc w:val="both"/>
        <w:rPr>
          <w:sz w:val="28"/>
          <w:szCs w:val="28"/>
        </w:rPr>
      </w:pPr>
      <w:r>
        <w:rPr>
          <w:sz w:val="28"/>
          <w:szCs w:val="28"/>
        </w:rPr>
        <w:t>техническое обслуживание систем охранно-пожарной сигнализации, охранного телевидения;</w:t>
      </w:r>
    </w:p>
    <w:p>
      <w:pPr>
        <w:pStyle w:val="Normal"/>
        <w:ind w:firstLine="720" w:right="0"/>
        <w:jc w:val="both"/>
        <w:rPr>
          <w:sz w:val="28"/>
          <w:szCs w:val="28"/>
        </w:rPr>
      </w:pPr>
      <w:r>
        <w:rPr>
          <w:sz w:val="28"/>
          <w:szCs w:val="28"/>
        </w:rPr>
        <w:t>техническое обслуживание прибора пультовой пожарной сигнализации.»;</w:t>
      </w:r>
    </w:p>
    <w:p>
      <w:pPr>
        <w:pStyle w:val="Normal"/>
        <w:ind w:firstLine="720" w:right="0"/>
        <w:jc w:val="both"/>
        <w:rPr>
          <w:sz w:val="28"/>
          <w:szCs w:val="28"/>
        </w:rPr>
      </w:pPr>
      <w:r>
        <w:rPr>
          <w:sz w:val="28"/>
          <w:szCs w:val="28"/>
        </w:rPr>
        <w:t>1.6. в пункте 4.8;</w:t>
      </w:r>
    </w:p>
    <w:p>
      <w:pPr>
        <w:pStyle w:val="Normal"/>
        <w:ind w:firstLine="720" w:right="0"/>
        <w:jc w:val="both"/>
        <w:rPr/>
      </w:pPr>
      <w:r>
        <w:rPr>
          <w:sz w:val="28"/>
          <w:szCs w:val="28"/>
        </w:rPr>
        <w:t xml:space="preserve">1.6.1. </w:t>
      </w:r>
      <w:r>
        <w:rPr>
          <w:sz w:val="28"/>
          <w:szCs w:val="24"/>
        </w:rPr>
        <w:t>абзац шестой изложить в следующей редакции:</w:t>
      </w:r>
    </w:p>
    <w:p>
      <w:pPr>
        <w:pStyle w:val="Normal"/>
        <w:ind w:firstLine="540" w:right="0"/>
        <w:jc w:val="both"/>
        <w:rPr/>
      </w:pPr>
      <w:r>
        <w:rPr>
          <w:sz w:val="28"/>
          <w:szCs w:val="28"/>
        </w:rPr>
        <w:t xml:space="preserve">В составе затрат на оплату услуг связи учитываются услуги абонентской связи, сотовой связи, и услуги подключения к информационно-телекоммуникационной сети Интернет, которые определяются согласно </w:t>
      </w:r>
      <w:hyperlink r:id="rId5">
        <w:r>
          <w:rPr>
            <w:rStyle w:val="Hyperlink"/>
            <w:color w:val="000000"/>
            <w:sz w:val="28"/>
            <w:szCs w:val="28"/>
            <w:u w:val="none"/>
          </w:rPr>
          <w:t>пункту 1.3</w:t>
        </w:r>
      </w:hyperlink>
      <w:r>
        <w:rPr>
          <w:color w:val="000000"/>
          <w:sz w:val="28"/>
          <w:szCs w:val="28"/>
          <w:u w:val="none"/>
        </w:rPr>
        <w:t xml:space="preserve"> настоящей Методики.</w:t>
      </w:r>
    </w:p>
    <w:p>
      <w:pPr>
        <w:pStyle w:val="Normal"/>
        <w:ind w:firstLine="720" w:right="0"/>
        <w:jc w:val="both"/>
        <w:rPr>
          <w:color w:val="000000"/>
          <w:sz w:val="28"/>
          <w:szCs w:val="24"/>
          <w:u w:val="none"/>
        </w:rPr>
      </w:pPr>
      <w:r>
        <w:rPr>
          <w:color w:val="000000"/>
          <w:sz w:val="28"/>
          <w:szCs w:val="24"/>
          <w:u w:val="none"/>
        </w:rPr>
        <w:t>1.7. Пункт 4.10 изложить в следующей редакции:</w:t>
      </w:r>
    </w:p>
    <w:p>
      <w:pPr>
        <w:pStyle w:val="Normal"/>
        <w:ind w:firstLine="720" w:right="0"/>
        <w:jc w:val="both"/>
        <w:rPr/>
      </w:pPr>
      <w:r>
        <w:rPr>
          <w:color w:val="000000"/>
          <w:kern w:val="2"/>
          <w:sz w:val="28"/>
          <w:szCs w:val="28"/>
          <w:u w:val="none"/>
        </w:rPr>
        <w:t>4.10. Затраты на прочие общехозяйственные нужды (N</w:t>
      </w:r>
      <w:r>
        <w:rPr>
          <w:color w:val="000000"/>
          <w:kern w:val="2"/>
          <w:sz w:val="28"/>
          <w:szCs w:val="28"/>
          <w:u w:val="none"/>
          <w:vertAlign w:val="superscript"/>
        </w:rPr>
        <w:t>ПНЗ</w:t>
      </w:r>
      <w:r>
        <w:rPr>
          <w:color w:val="000000"/>
          <w:kern w:val="2"/>
          <w:sz w:val="28"/>
          <w:szCs w:val="28"/>
          <w:u w:val="none"/>
        </w:rPr>
        <w:t xml:space="preserve">) определяются согласно </w:t>
      </w:r>
      <w:hyperlink w:anchor="P58">
        <w:r>
          <w:rPr>
            <w:rStyle w:val="Hyperlink"/>
            <w:color w:val="000000"/>
            <w:kern w:val="2"/>
            <w:sz w:val="28"/>
            <w:szCs w:val="28"/>
            <w:u w:val="none"/>
          </w:rPr>
          <w:t>пункту 1.3</w:t>
        </w:r>
      </w:hyperlink>
      <w:r>
        <w:rPr>
          <w:color w:val="000000"/>
          <w:kern w:val="2"/>
          <w:sz w:val="28"/>
          <w:szCs w:val="28"/>
          <w:u w:val="none"/>
        </w:rPr>
        <w:t xml:space="preserve"> настоящей Методики и рассчитываются п</w:t>
      </w:r>
      <w:r>
        <w:rPr>
          <w:kern w:val="2"/>
          <w:sz w:val="28"/>
          <w:szCs w:val="28"/>
        </w:rPr>
        <w:t>о следующей формуле:</w:t>
      </w:r>
    </w:p>
    <w:p>
      <w:pPr>
        <w:pStyle w:val="Normal"/>
        <w:widowControl w:val="false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</w:r>
    </w:p>
    <w:p>
      <w:pPr>
        <w:pStyle w:val="Normal"/>
        <w:widowControl w:val="false"/>
        <w:jc w:val="center"/>
        <w:rPr/>
      </w:pPr>
      <w:r>
        <w:rPr>
          <w:kern w:val="2"/>
          <w:sz w:val="28"/>
          <w:szCs w:val="28"/>
        </w:rPr>
        <w:t>N</w:t>
      </w:r>
      <w:r>
        <w:rPr>
          <w:kern w:val="2"/>
          <w:sz w:val="28"/>
          <w:szCs w:val="28"/>
          <w:vertAlign w:val="superscript"/>
        </w:rPr>
        <w:t>ПНЗ</w:t>
      </w:r>
      <w:r>
        <w:rPr>
          <w:kern w:val="2"/>
          <w:sz w:val="28"/>
          <w:szCs w:val="28"/>
        </w:rPr>
        <w:t xml:space="preserve"> = N</w:t>
      </w:r>
      <w:r>
        <w:rPr>
          <w:kern w:val="2"/>
          <w:sz w:val="28"/>
          <w:szCs w:val="28"/>
          <w:vertAlign w:val="superscript"/>
        </w:rPr>
        <w:t>ПР</w:t>
      </w:r>
      <w:r>
        <w:rPr>
          <w:kern w:val="2"/>
          <w:sz w:val="28"/>
          <w:szCs w:val="28"/>
        </w:rPr>
        <w:t xml:space="preserve"> + N</w:t>
      </w:r>
      <w:r>
        <w:rPr>
          <w:kern w:val="2"/>
          <w:sz w:val="28"/>
          <w:szCs w:val="28"/>
          <w:vertAlign w:val="superscript"/>
        </w:rPr>
        <w:t>ОЦ</w:t>
      </w:r>
      <w:r>
        <w:rPr>
          <w:kern w:val="2"/>
          <w:sz w:val="28"/>
          <w:szCs w:val="28"/>
        </w:rPr>
        <w:t xml:space="preserve"> + N</w:t>
      </w:r>
      <w:r>
        <w:rPr>
          <w:kern w:val="2"/>
          <w:sz w:val="28"/>
          <w:szCs w:val="28"/>
          <w:vertAlign w:val="superscript"/>
        </w:rPr>
        <w:t>ОС</w:t>
      </w:r>
      <w:r>
        <w:rPr>
          <w:kern w:val="2"/>
          <w:sz w:val="28"/>
          <w:szCs w:val="28"/>
        </w:rPr>
        <w:t xml:space="preserve"> + N</w:t>
      </w:r>
      <w:r>
        <w:rPr>
          <w:kern w:val="2"/>
          <w:sz w:val="28"/>
          <w:szCs w:val="28"/>
          <w:vertAlign w:val="superscript"/>
        </w:rPr>
        <w:t>МЗ</w:t>
      </w:r>
      <w:r>
        <w:rPr>
          <w:kern w:val="2"/>
          <w:sz w:val="28"/>
          <w:szCs w:val="28"/>
        </w:rPr>
        <w:t>, где</w:t>
      </w:r>
    </w:p>
    <w:p>
      <w:pPr>
        <w:pStyle w:val="Normal"/>
        <w:widowControl w:val="false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</w:r>
    </w:p>
    <w:p>
      <w:pPr>
        <w:pStyle w:val="Normal"/>
        <w:widowControl w:val="false"/>
        <w:ind w:firstLine="540" w:right="0"/>
        <w:jc w:val="both"/>
        <w:rPr/>
      </w:pPr>
      <w:r>
        <w:rPr>
          <w:kern w:val="2"/>
          <w:sz w:val="28"/>
          <w:szCs w:val="28"/>
        </w:rPr>
        <w:t>N</w:t>
      </w:r>
      <w:r>
        <w:rPr>
          <w:kern w:val="2"/>
          <w:sz w:val="28"/>
          <w:szCs w:val="28"/>
          <w:vertAlign w:val="superscript"/>
        </w:rPr>
        <w:t>ПР</w:t>
      </w:r>
      <w:r>
        <w:rPr>
          <w:kern w:val="2"/>
          <w:sz w:val="28"/>
          <w:szCs w:val="28"/>
        </w:rPr>
        <w:t xml:space="preserve"> - затраты на приобретение прочих работ (услуг);</w:t>
      </w:r>
    </w:p>
    <w:p>
      <w:pPr>
        <w:pStyle w:val="Normal"/>
        <w:widowControl w:val="false"/>
        <w:ind w:firstLine="540" w:right="0"/>
        <w:jc w:val="both"/>
        <w:rPr/>
      </w:pPr>
      <w:r>
        <w:rPr>
          <w:kern w:val="2"/>
          <w:sz w:val="28"/>
          <w:szCs w:val="28"/>
        </w:rPr>
        <w:t>N</w:t>
      </w:r>
      <w:r>
        <w:rPr>
          <w:kern w:val="2"/>
          <w:sz w:val="28"/>
          <w:szCs w:val="28"/>
          <w:vertAlign w:val="superscript"/>
        </w:rPr>
        <w:t>ОЦ</w:t>
      </w:r>
      <w:r>
        <w:rPr>
          <w:kern w:val="2"/>
          <w:sz w:val="28"/>
          <w:szCs w:val="28"/>
        </w:rPr>
        <w:t xml:space="preserve"> - затраты на приобретение особо ценного движимого имущества;</w:t>
      </w:r>
    </w:p>
    <w:p>
      <w:pPr>
        <w:pStyle w:val="Normal"/>
        <w:widowControl w:val="false"/>
        <w:ind w:firstLine="540" w:right="0"/>
        <w:jc w:val="both"/>
        <w:rPr/>
      </w:pPr>
      <w:r>
        <w:rPr>
          <w:kern w:val="2"/>
          <w:sz w:val="28"/>
          <w:szCs w:val="28"/>
        </w:rPr>
        <w:t>N</w:t>
      </w:r>
      <w:r>
        <w:rPr>
          <w:kern w:val="2"/>
          <w:sz w:val="28"/>
          <w:szCs w:val="28"/>
          <w:vertAlign w:val="superscript"/>
        </w:rPr>
        <w:t>ОС</w:t>
      </w:r>
      <w:r>
        <w:rPr>
          <w:kern w:val="2"/>
          <w:sz w:val="28"/>
          <w:szCs w:val="28"/>
        </w:rPr>
        <w:t xml:space="preserve"> - затраты на увеличение стоимости основных средств;</w:t>
      </w:r>
    </w:p>
    <w:p>
      <w:pPr>
        <w:pStyle w:val="Normal"/>
        <w:widowControl w:val="false"/>
        <w:ind w:firstLine="540" w:right="0"/>
        <w:jc w:val="both"/>
        <w:rPr/>
      </w:pPr>
      <w:r>
        <w:rPr>
          <w:kern w:val="2"/>
          <w:sz w:val="28"/>
          <w:szCs w:val="28"/>
        </w:rPr>
        <w:t>N</w:t>
      </w:r>
      <w:r>
        <w:rPr>
          <w:kern w:val="2"/>
          <w:sz w:val="28"/>
          <w:szCs w:val="28"/>
          <w:vertAlign w:val="superscript"/>
        </w:rPr>
        <w:t>МЗ</w:t>
      </w:r>
      <w:r>
        <w:rPr>
          <w:kern w:val="2"/>
          <w:sz w:val="28"/>
          <w:szCs w:val="28"/>
        </w:rPr>
        <w:t xml:space="preserve"> - затраты на увеличение стоимости материальных запасов.</w:t>
      </w:r>
    </w:p>
    <w:p>
      <w:pPr>
        <w:pStyle w:val="Normal"/>
        <w:widowControl w:val="false"/>
        <w:ind w:firstLine="540" w:right="0"/>
        <w:jc w:val="both"/>
        <w:rPr/>
      </w:pPr>
      <w:r>
        <w:rPr>
          <w:kern w:val="2"/>
          <w:sz w:val="28"/>
          <w:szCs w:val="28"/>
        </w:rPr>
        <w:t xml:space="preserve">Стоимость прочих работ (услуг), особо ценного движимого имущества, основных средств и материальных запасов определяется в соответствии с положениями </w:t>
      </w:r>
      <w:hyperlink w:anchor="P115">
        <w:r>
          <w:rPr>
            <w:rStyle w:val="Hyperlink"/>
            <w:color w:val="000000"/>
            <w:kern w:val="2"/>
            <w:sz w:val="28"/>
            <w:szCs w:val="28"/>
            <w:u w:val="none"/>
          </w:rPr>
          <w:t>пункта 4.1</w:t>
        </w:r>
      </w:hyperlink>
      <w:r>
        <w:rPr>
          <w:color w:val="000000"/>
          <w:kern w:val="2"/>
          <w:sz w:val="28"/>
          <w:szCs w:val="28"/>
          <w:u w:val="none"/>
        </w:rPr>
        <w:t xml:space="preserve"> настоящей Методики.</w:t>
      </w:r>
    </w:p>
    <w:p>
      <w:pPr>
        <w:pStyle w:val="Normal"/>
        <w:widowControl w:val="false"/>
        <w:ind w:firstLine="540" w:right="0"/>
        <w:jc w:val="both"/>
        <w:rPr/>
      </w:pPr>
      <w:r>
        <w:rPr>
          <w:color w:val="000000"/>
          <w:kern w:val="2"/>
          <w:sz w:val="28"/>
          <w:szCs w:val="28"/>
          <w:u w:val="none"/>
        </w:rPr>
        <w:t>В составе затрат на</w:t>
      </w:r>
      <w:r>
        <w:rPr>
          <w:kern w:val="2"/>
          <w:sz w:val="28"/>
          <w:szCs w:val="28"/>
        </w:rPr>
        <w:t xml:space="preserve"> приобретение прочих работ (услуг) (N</w:t>
      </w:r>
      <w:r>
        <w:rPr>
          <w:kern w:val="2"/>
          <w:sz w:val="28"/>
          <w:szCs w:val="28"/>
          <w:vertAlign w:val="superscript"/>
        </w:rPr>
        <w:t>ПР</w:t>
      </w:r>
      <w:r>
        <w:rPr>
          <w:kern w:val="2"/>
          <w:sz w:val="28"/>
          <w:szCs w:val="28"/>
        </w:rPr>
        <w:t>) учитываются следующие работы (услуги):</w:t>
      </w:r>
    </w:p>
    <w:p>
      <w:pPr>
        <w:pStyle w:val="Normal"/>
        <w:ind w:firstLine="567" w:right="0"/>
        <w:jc w:val="both"/>
        <w:rPr>
          <w:sz w:val="28"/>
          <w:szCs w:val="28"/>
        </w:rPr>
      </w:pPr>
      <w:r>
        <w:rPr>
          <w:sz w:val="28"/>
          <w:szCs w:val="28"/>
        </w:rPr>
        <w:t>«услуги физической охраны;</w:t>
      </w:r>
    </w:p>
    <w:p>
      <w:pPr>
        <w:pStyle w:val="Normal"/>
        <w:ind w:firstLine="567" w:right="0"/>
        <w:jc w:val="both"/>
        <w:rPr>
          <w:sz w:val="28"/>
          <w:szCs w:val="28"/>
        </w:rPr>
      </w:pPr>
      <w:r>
        <w:rPr>
          <w:sz w:val="28"/>
          <w:szCs w:val="28"/>
        </w:rPr>
        <w:t>услуги охраны объектов;</w:t>
      </w:r>
    </w:p>
    <w:p>
      <w:pPr>
        <w:pStyle w:val="Normal"/>
        <w:ind w:firstLine="567" w:right="0"/>
        <w:jc w:val="both"/>
        <w:rPr>
          <w:sz w:val="28"/>
          <w:szCs w:val="28"/>
        </w:rPr>
      </w:pPr>
      <w:r>
        <w:rPr>
          <w:sz w:val="28"/>
          <w:szCs w:val="28"/>
        </w:rPr>
        <w:t>консультационные услуги;</w:t>
      </w:r>
    </w:p>
    <w:p>
      <w:pPr>
        <w:pStyle w:val="Normal"/>
        <w:ind w:firstLine="567" w:right="0"/>
        <w:jc w:val="both"/>
        <w:rPr>
          <w:sz w:val="28"/>
          <w:szCs w:val="28"/>
        </w:rPr>
      </w:pPr>
      <w:r>
        <w:rPr>
          <w:sz w:val="28"/>
          <w:szCs w:val="28"/>
        </w:rPr>
        <w:t>изготовление и размещение рекламных материалов;</w:t>
      </w:r>
    </w:p>
    <w:p>
      <w:pPr>
        <w:pStyle w:val="Normal"/>
        <w:ind w:firstLine="567" w:right="0"/>
        <w:jc w:val="both"/>
        <w:rPr>
          <w:sz w:val="28"/>
          <w:szCs w:val="28"/>
        </w:rPr>
      </w:pPr>
      <w:r>
        <w:rPr>
          <w:sz w:val="28"/>
          <w:szCs w:val="28"/>
        </w:rPr>
        <w:t>услуги Справочной Правовой Системы КонсультантПлюс;</w:t>
      </w:r>
    </w:p>
    <w:p>
      <w:pPr>
        <w:pStyle w:val="Normal"/>
        <w:ind w:firstLine="567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неисключительные права система сбора отчетности «Санни»; </w:t>
      </w:r>
    </w:p>
    <w:p>
      <w:pPr>
        <w:pStyle w:val="Normal"/>
        <w:ind w:firstLine="567" w:right="0"/>
        <w:jc w:val="both"/>
        <w:rPr>
          <w:sz w:val="28"/>
          <w:szCs w:val="28"/>
        </w:rPr>
      </w:pPr>
      <w:r>
        <w:rPr>
          <w:sz w:val="28"/>
          <w:szCs w:val="28"/>
        </w:rPr>
        <w:t>экспертиза технического состояния объектов;</w:t>
      </w:r>
    </w:p>
    <w:p>
      <w:pPr>
        <w:pStyle w:val="Normal"/>
        <w:ind w:firstLine="567" w:right="0"/>
        <w:jc w:val="both"/>
        <w:rPr>
          <w:sz w:val="28"/>
          <w:szCs w:val="28"/>
        </w:rPr>
      </w:pPr>
      <w:r>
        <w:rPr>
          <w:sz w:val="28"/>
          <w:szCs w:val="28"/>
        </w:rPr>
        <w:t>предрейсовый и послерейсовый медицинский осмотр;</w:t>
      </w:r>
    </w:p>
    <w:p>
      <w:pPr>
        <w:pStyle w:val="Normal"/>
        <w:ind w:firstLine="567" w:right="0"/>
        <w:jc w:val="both"/>
        <w:rPr>
          <w:sz w:val="28"/>
          <w:szCs w:val="28"/>
        </w:rPr>
      </w:pPr>
      <w:r>
        <w:rPr>
          <w:sz w:val="28"/>
          <w:szCs w:val="28"/>
        </w:rPr>
        <w:t>услуги по реализации электронных билетов;</w:t>
      </w:r>
    </w:p>
    <w:p>
      <w:pPr>
        <w:pStyle w:val="Normal"/>
        <w:ind w:firstLine="567" w:right="0"/>
        <w:jc w:val="both"/>
        <w:rPr>
          <w:sz w:val="28"/>
          <w:szCs w:val="28"/>
        </w:rPr>
      </w:pPr>
      <w:r>
        <w:rPr>
          <w:sz w:val="28"/>
          <w:szCs w:val="28"/>
        </w:rPr>
        <w:t>обслуживание узла учета тепловой энергии;</w:t>
      </w:r>
    </w:p>
    <w:p>
      <w:pPr>
        <w:pStyle w:val="Normal"/>
        <w:ind w:firstLine="567" w:right="0"/>
        <w:jc w:val="both"/>
        <w:rPr>
          <w:sz w:val="28"/>
          <w:szCs w:val="28"/>
        </w:rPr>
      </w:pPr>
      <w:r>
        <w:rPr>
          <w:sz w:val="28"/>
          <w:szCs w:val="28"/>
        </w:rPr>
        <w:t>полнокупольные программы для цифровых планетариев.»;</w:t>
      </w:r>
    </w:p>
    <w:p>
      <w:pPr>
        <w:pStyle w:val="Normal"/>
        <w:ind w:firstLine="567" w:right="0"/>
        <w:jc w:val="both"/>
        <w:rPr/>
      </w:pPr>
      <w:r>
        <w:rPr>
          <w:kern w:val="2"/>
          <w:sz w:val="28"/>
          <w:szCs w:val="28"/>
        </w:rPr>
        <w:t>Затраты на приобретение прочих работ (услуг) (N</w:t>
      </w:r>
      <w:r>
        <w:rPr>
          <w:kern w:val="2"/>
          <w:sz w:val="28"/>
          <w:szCs w:val="28"/>
          <w:vertAlign w:val="superscript"/>
        </w:rPr>
        <w:t>ПР</w:t>
      </w:r>
      <w:r>
        <w:rPr>
          <w:kern w:val="2"/>
          <w:sz w:val="28"/>
          <w:szCs w:val="28"/>
        </w:rPr>
        <w:t>) рассчитываются по следующей формуле:</w:t>
      </w:r>
    </w:p>
    <w:p>
      <w:pPr>
        <w:pStyle w:val="Normal"/>
        <w:widowControl w:val="false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</w:r>
    </w:p>
    <w:p>
      <w:pPr>
        <w:pStyle w:val="Normal"/>
        <w:widowControl w:val="false"/>
        <w:jc w:val="center"/>
        <w:rPr/>
      </w:pPr>
      <w:r>
        <w:rPr>
          <w:kern w:val="2"/>
          <w:sz w:val="28"/>
          <w:szCs w:val="28"/>
        </w:rPr>
        <w:t>N</w:t>
      </w:r>
      <w:r>
        <w:rPr>
          <w:kern w:val="2"/>
          <w:sz w:val="28"/>
          <w:szCs w:val="28"/>
          <w:vertAlign w:val="superscript"/>
        </w:rPr>
        <w:t>ПР</w:t>
      </w:r>
      <w:r>
        <w:rPr>
          <w:kern w:val="2"/>
          <w:sz w:val="28"/>
          <w:szCs w:val="28"/>
        </w:rPr>
        <w:t xml:space="preserve"> = n</w:t>
      </w:r>
      <w:r>
        <w:rPr>
          <w:kern w:val="2"/>
          <w:sz w:val="28"/>
          <w:szCs w:val="28"/>
          <w:vertAlign w:val="subscript"/>
        </w:rPr>
        <w:t>пр</w:t>
      </w:r>
      <w:r>
        <w:rPr>
          <w:kern w:val="2"/>
          <w:sz w:val="28"/>
          <w:szCs w:val="28"/>
        </w:rPr>
        <w:t xml:space="preserve"> x R</w:t>
      </w:r>
      <w:r>
        <w:rPr>
          <w:kern w:val="2"/>
          <w:sz w:val="28"/>
          <w:szCs w:val="28"/>
          <w:vertAlign w:val="subscript"/>
        </w:rPr>
        <w:t>пр</w:t>
      </w:r>
      <w:r>
        <w:rPr>
          <w:kern w:val="2"/>
          <w:sz w:val="28"/>
          <w:szCs w:val="28"/>
        </w:rPr>
        <w:t xml:space="preserve"> x D</w:t>
      </w:r>
      <w:r>
        <w:rPr>
          <w:kern w:val="2"/>
          <w:sz w:val="28"/>
          <w:szCs w:val="28"/>
          <w:vertAlign w:val="subscript"/>
        </w:rPr>
        <w:t>pd</w:t>
      </w:r>
      <w:r>
        <w:rPr>
          <w:kern w:val="2"/>
          <w:sz w:val="28"/>
          <w:szCs w:val="28"/>
        </w:rPr>
        <w:t>, где</w:t>
      </w:r>
    </w:p>
    <w:p>
      <w:pPr>
        <w:pStyle w:val="Normal"/>
        <w:widowControl w:val="false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</w:r>
    </w:p>
    <w:p>
      <w:pPr>
        <w:pStyle w:val="Normal"/>
        <w:widowControl w:val="false"/>
        <w:ind w:firstLine="540" w:right="0"/>
        <w:jc w:val="both"/>
        <w:rPr/>
      </w:pPr>
      <w:r>
        <w:rPr>
          <w:kern w:val="2"/>
          <w:sz w:val="28"/>
          <w:szCs w:val="28"/>
        </w:rPr>
        <w:t>n</w:t>
      </w:r>
      <w:r>
        <w:rPr>
          <w:kern w:val="2"/>
          <w:sz w:val="28"/>
          <w:szCs w:val="28"/>
          <w:vertAlign w:val="subscript"/>
        </w:rPr>
        <w:t>пр</w:t>
      </w:r>
      <w:r>
        <w:rPr>
          <w:kern w:val="2"/>
          <w:sz w:val="28"/>
          <w:szCs w:val="28"/>
        </w:rPr>
        <w:t xml:space="preserve"> - значение натуральной нормы потребления на приобретение прочих работ (услуг), рассчитанное как отношение количества единиц работ (услуг) на приобретение прочих работ (услуг) к среднему количеству участников мероприятий;</w:t>
      </w:r>
    </w:p>
    <w:p>
      <w:pPr>
        <w:pStyle w:val="Normal"/>
        <w:widowControl w:val="false"/>
        <w:ind w:firstLine="540" w:right="0"/>
        <w:jc w:val="both"/>
        <w:rPr/>
      </w:pPr>
      <w:r>
        <w:rPr>
          <w:kern w:val="2"/>
          <w:sz w:val="28"/>
          <w:szCs w:val="28"/>
        </w:rPr>
        <w:t>R</w:t>
      </w:r>
      <w:r>
        <w:rPr>
          <w:kern w:val="2"/>
          <w:sz w:val="28"/>
          <w:szCs w:val="28"/>
          <w:vertAlign w:val="subscript"/>
        </w:rPr>
        <w:t>пр</w:t>
      </w:r>
      <w:r>
        <w:rPr>
          <w:kern w:val="2"/>
          <w:sz w:val="28"/>
          <w:szCs w:val="28"/>
        </w:rPr>
        <w:t xml:space="preserve"> - цена (тариф) конкретного вида прочих работ (услуг), руб.</w:t>
      </w:r>
    </w:p>
    <w:p>
      <w:pPr>
        <w:pStyle w:val="Normal"/>
        <w:widowControl w:val="false"/>
        <w:ind w:firstLine="540" w:right="0"/>
        <w:jc w:val="both"/>
        <w:rPr/>
      </w:pPr>
      <w:r>
        <w:rPr>
          <w:kern w:val="2"/>
          <w:sz w:val="28"/>
          <w:szCs w:val="28"/>
        </w:rPr>
        <w:t>Затраты на приобретение особо ценного движимого имущества (N</w:t>
      </w:r>
      <w:r>
        <w:rPr>
          <w:kern w:val="2"/>
          <w:sz w:val="28"/>
          <w:szCs w:val="28"/>
          <w:vertAlign w:val="superscript"/>
        </w:rPr>
        <w:t>ОЦ</w:t>
      </w:r>
      <w:r>
        <w:rPr>
          <w:kern w:val="2"/>
          <w:sz w:val="28"/>
          <w:szCs w:val="28"/>
        </w:rPr>
        <w:t>) рассчитываются по следующей формуле:</w:t>
      </w:r>
    </w:p>
    <w:p>
      <w:pPr>
        <w:pStyle w:val="Normal"/>
        <w:widowControl w:val="false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</w:r>
    </w:p>
    <w:p>
      <w:pPr>
        <w:pStyle w:val="Normal"/>
        <w:widowControl w:val="false"/>
        <w:jc w:val="center"/>
        <w:rPr/>
      </w:pPr>
      <w:r>
        <w:rPr>
          <w:kern w:val="2"/>
          <w:sz w:val="28"/>
          <w:szCs w:val="28"/>
        </w:rPr>
        <w:t>N</w:t>
      </w:r>
      <w:r>
        <w:rPr>
          <w:kern w:val="2"/>
          <w:sz w:val="28"/>
          <w:szCs w:val="28"/>
          <w:vertAlign w:val="superscript"/>
        </w:rPr>
        <w:t>ОЦ</w:t>
      </w:r>
      <w:r>
        <w:rPr>
          <w:kern w:val="2"/>
          <w:sz w:val="28"/>
          <w:szCs w:val="28"/>
        </w:rPr>
        <w:t xml:space="preserve"> = n</w:t>
      </w:r>
      <w:r>
        <w:rPr>
          <w:kern w:val="2"/>
          <w:sz w:val="28"/>
          <w:szCs w:val="28"/>
          <w:vertAlign w:val="superscript"/>
        </w:rPr>
        <w:t>ОЦ</w:t>
      </w:r>
      <w:r>
        <w:rPr>
          <w:kern w:val="2"/>
          <w:sz w:val="28"/>
          <w:szCs w:val="28"/>
        </w:rPr>
        <w:t xml:space="preserve"> x R</w:t>
      </w:r>
      <w:r>
        <w:rPr>
          <w:kern w:val="2"/>
          <w:sz w:val="28"/>
          <w:szCs w:val="28"/>
          <w:vertAlign w:val="superscript"/>
        </w:rPr>
        <w:t>ОЦ</w:t>
      </w:r>
      <w:r>
        <w:rPr>
          <w:kern w:val="2"/>
          <w:sz w:val="28"/>
          <w:szCs w:val="28"/>
        </w:rPr>
        <w:t xml:space="preserve"> / T</w:t>
      </w:r>
      <w:r>
        <w:rPr>
          <w:kern w:val="2"/>
          <w:sz w:val="28"/>
          <w:szCs w:val="28"/>
          <w:vertAlign w:val="superscript"/>
        </w:rPr>
        <w:t>ОЦ</w:t>
      </w:r>
      <w:r>
        <w:rPr>
          <w:kern w:val="2"/>
          <w:sz w:val="28"/>
          <w:szCs w:val="28"/>
        </w:rPr>
        <w:t xml:space="preserve"> x D</w:t>
      </w:r>
      <w:r>
        <w:rPr>
          <w:kern w:val="2"/>
          <w:sz w:val="28"/>
          <w:szCs w:val="28"/>
          <w:vertAlign w:val="subscript"/>
        </w:rPr>
        <w:t>pd</w:t>
      </w:r>
      <w:r>
        <w:rPr>
          <w:kern w:val="2"/>
          <w:sz w:val="28"/>
          <w:szCs w:val="28"/>
        </w:rPr>
        <w:t>, где</w:t>
      </w:r>
    </w:p>
    <w:p>
      <w:pPr>
        <w:pStyle w:val="Normal"/>
        <w:widowControl w:val="false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</w:r>
    </w:p>
    <w:p>
      <w:pPr>
        <w:pStyle w:val="Normal"/>
        <w:widowControl w:val="false"/>
        <w:ind w:firstLine="540" w:right="0"/>
        <w:jc w:val="both"/>
        <w:rPr/>
      </w:pPr>
      <w:r>
        <w:rPr>
          <w:kern w:val="2"/>
          <w:sz w:val="28"/>
          <w:szCs w:val="28"/>
        </w:rPr>
        <w:t>n</w:t>
      </w:r>
      <w:r>
        <w:rPr>
          <w:kern w:val="2"/>
          <w:sz w:val="28"/>
          <w:szCs w:val="28"/>
          <w:vertAlign w:val="superscript"/>
        </w:rPr>
        <w:t>ОЦ</w:t>
      </w:r>
      <w:r>
        <w:rPr>
          <w:kern w:val="2"/>
          <w:sz w:val="28"/>
          <w:szCs w:val="28"/>
        </w:rPr>
        <w:t xml:space="preserve"> - значение натуральной нормы по затратам на приобретение особо ценного движимого имущества, рассчитанное как отношение количества единиц особо ценного имущества к среднему количеству участников мероприятий;</w:t>
      </w:r>
    </w:p>
    <w:p>
      <w:pPr>
        <w:pStyle w:val="Normal"/>
        <w:widowControl w:val="false"/>
        <w:ind w:firstLine="540" w:right="0"/>
        <w:jc w:val="both"/>
        <w:rPr/>
      </w:pPr>
      <w:r>
        <w:rPr>
          <w:kern w:val="2"/>
          <w:sz w:val="28"/>
          <w:szCs w:val="28"/>
        </w:rPr>
        <w:t>R</w:t>
      </w:r>
      <w:r>
        <w:rPr>
          <w:kern w:val="2"/>
          <w:sz w:val="28"/>
          <w:szCs w:val="28"/>
          <w:vertAlign w:val="superscript"/>
        </w:rPr>
        <w:t>ОЦ</w:t>
      </w:r>
      <w:r>
        <w:rPr>
          <w:kern w:val="2"/>
          <w:sz w:val="28"/>
          <w:szCs w:val="28"/>
        </w:rPr>
        <w:t xml:space="preserve"> - стоимость особо ценного движимого имущества, руб.;</w:t>
      </w:r>
    </w:p>
    <w:p>
      <w:pPr>
        <w:pStyle w:val="Normal"/>
        <w:widowControl w:val="false"/>
        <w:ind w:firstLine="540" w:right="0"/>
        <w:jc w:val="both"/>
        <w:rPr/>
      </w:pPr>
      <w:r>
        <w:rPr>
          <w:kern w:val="2"/>
          <w:sz w:val="28"/>
          <w:szCs w:val="28"/>
        </w:rPr>
        <w:t>T</w:t>
      </w:r>
      <w:r>
        <w:rPr>
          <w:kern w:val="2"/>
          <w:sz w:val="28"/>
          <w:szCs w:val="28"/>
          <w:vertAlign w:val="superscript"/>
        </w:rPr>
        <w:t>ОЦ</w:t>
      </w:r>
      <w:r>
        <w:rPr>
          <w:kern w:val="2"/>
          <w:sz w:val="28"/>
          <w:szCs w:val="28"/>
        </w:rPr>
        <w:t xml:space="preserve"> - срок полезного использования вида особо ценного движимого имущества.</w:t>
      </w:r>
    </w:p>
    <w:p>
      <w:pPr>
        <w:pStyle w:val="Normal"/>
        <w:ind w:firstLine="567" w:right="0"/>
        <w:jc w:val="both"/>
        <w:rPr>
          <w:sz w:val="28"/>
          <w:szCs w:val="28"/>
        </w:rPr>
      </w:pPr>
      <w:r>
        <w:rPr>
          <w:sz w:val="28"/>
          <w:szCs w:val="28"/>
        </w:rPr>
        <w:t>В составе затрат на приобретение особо ценного движимого имущества учитываются расходы на приобретение светодиодного экрана.</w:t>
      </w:r>
    </w:p>
    <w:p>
      <w:pPr>
        <w:pStyle w:val="Normal"/>
        <w:ind w:firstLine="567" w:right="0"/>
        <w:jc w:val="both"/>
        <w:rPr/>
      </w:pPr>
      <w:r>
        <w:rPr>
          <w:kern w:val="2"/>
          <w:sz w:val="28"/>
          <w:szCs w:val="28"/>
        </w:rPr>
        <w:t>Затраты на увеличение стоимости основных средств (N</w:t>
      </w:r>
      <w:r>
        <w:rPr>
          <w:kern w:val="2"/>
          <w:sz w:val="28"/>
          <w:szCs w:val="28"/>
          <w:vertAlign w:val="superscript"/>
        </w:rPr>
        <w:t>ОС</w:t>
      </w:r>
      <w:r>
        <w:rPr>
          <w:kern w:val="2"/>
          <w:sz w:val="28"/>
          <w:szCs w:val="28"/>
        </w:rPr>
        <w:t>) рассчитываются по следующей формуле:</w:t>
      </w:r>
    </w:p>
    <w:p>
      <w:pPr>
        <w:pStyle w:val="Normal"/>
        <w:widowControl w:val="false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</w:r>
    </w:p>
    <w:p>
      <w:pPr>
        <w:pStyle w:val="Normal"/>
        <w:widowControl w:val="false"/>
        <w:jc w:val="center"/>
        <w:rPr/>
      </w:pPr>
      <w:r>
        <w:rPr>
          <w:kern w:val="2"/>
          <w:sz w:val="28"/>
          <w:szCs w:val="28"/>
        </w:rPr>
        <w:t>N</w:t>
      </w:r>
      <w:r>
        <w:rPr>
          <w:kern w:val="2"/>
          <w:sz w:val="28"/>
          <w:szCs w:val="28"/>
          <w:vertAlign w:val="superscript"/>
        </w:rPr>
        <w:t>ОС</w:t>
      </w:r>
      <w:r>
        <w:rPr>
          <w:kern w:val="2"/>
          <w:sz w:val="28"/>
          <w:szCs w:val="28"/>
        </w:rPr>
        <w:t xml:space="preserve"> = n</w:t>
      </w:r>
      <w:r>
        <w:rPr>
          <w:kern w:val="2"/>
          <w:sz w:val="28"/>
          <w:szCs w:val="28"/>
          <w:vertAlign w:val="subscript"/>
        </w:rPr>
        <w:t>ос</w:t>
      </w:r>
      <w:r>
        <w:rPr>
          <w:kern w:val="2"/>
          <w:sz w:val="28"/>
          <w:szCs w:val="28"/>
        </w:rPr>
        <w:t xml:space="preserve"> x R</w:t>
      </w:r>
      <w:r>
        <w:rPr>
          <w:kern w:val="2"/>
          <w:sz w:val="28"/>
          <w:szCs w:val="28"/>
          <w:vertAlign w:val="subscript"/>
        </w:rPr>
        <w:t>ос</w:t>
      </w:r>
      <w:r>
        <w:rPr>
          <w:kern w:val="2"/>
          <w:sz w:val="28"/>
          <w:szCs w:val="28"/>
        </w:rPr>
        <w:t xml:space="preserve"> / T</w:t>
      </w:r>
      <w:r>
        <w:rPr>
          <w:kern w:val="2"/>
          <w:sz w:val="28"/>
          <w:szCs w:val="28"/>
          <w:vertAlign w:val="subscript"/>
        </w:rPr>
        <w:t>ос</w:t>
      </w:r>
      <w:r>
        <w:rPr>
          <w:kern w:val="2"/>
          <w:sz w:val="28"/>
          <w:szCs w:val="28"/>
        </w:rPr>
        <w:t xml:space="preserve"> x D</w:t>
      </w:r>
      <w:r>
        <w:rPr>
          <w:kern w:val="2"/>
          <w:sz w:val="28"/>
          <w:szCs w:val="28"/>
          <w:vertAlign w:val="subscript"/>
        </w:rPr>
        <w:t>pd</w:t>
      </w:r>
      <w:r>
        <w:rPr>
          <w:kern w:val="2"/>
          <w:sz w:val="28"/>
          <w:szCs w:val="28"/>
        </w:rPr>
        <w:t>, где</w:t>
      </w:r>
    </w:p>
    <w:p>
      <w:pPr>
        <w:pStyle w:val="Normal"/>
        <w:widowControl w:val="false"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</w:r>
    </w:p>
    <w:p>
      <w:pPr>
        <w:pStyle w:val="Normal"/>
        <w:widowControl w:val="false"/>
        <w:ind w:firstLine="540" w:right="0"/>
        <w:jc w:val="both"/>
        <w:rPr/>
      </w:pPr>
      <w:r>
        <w:rPr>
          <w:kern w:val="2"/>
          <w:sz w:val="28"/>
          <w:szCs w:val="28"/>
        </w:rPr>
        <w:t>n</w:t>
      </w:r>
      <w:r>
        <w:rPr>
          <w:kern w:val="2"/>
          <w:sz w:val="28"/>
          <w:szCs w:val="28"/>
          <w:vertAlign w:val="subscript"/>
        </w:rPr>
        <w:t>ос</w:t>
      </w:r>
      <w:r>
        <w:rPr>
          <w:kern w:val="2"/>
          <w:sz w:val="28"/>
          <w:szCs w:val="28"/>
        </w:rPr>
        <w:t xml:space="preserve"> - значение натуральной нормы по затратам на увеличение стоимости основных средств, рассчитанное как отношение количества единиц основных средств </w:t>
      </w:r>
      <w:bookmarkStart w:id="18" w:name="_Hlk192504610"/>
      <w:r>
        <w:rPr>
          <w:kern w:val="2"/>
          <w:sz w:val="28"/>
          <w:szCs w:val="28"/>
        </w:rPr>
        <w:t>к среднему количеству участников мероприятий;</w:t>
      </w:r>
      <w:bookmarkEnd w:id="18"/>
    </w:p>
    <w:p>
      <w:pPr>
        <w:pStyle w:val="Normal"/>
        <w:widowControl w:val="false"/>
        <w:ind w:firstLine="540" w:right="0"/>
        <w:jc w:val="both"/>
        <w:rPr/>
      </w:pPr>
      <w:r>
        <w:rPr>
          <w:kern w:val="2"/>
          <w:sz w:val="28"/>
          <w:szCs w:val="28"/>
        </w:rPr>
        <w:t>R</w:t>
      </w:r>
      <w:r>
        <w:rPr>
          <w:kern w:val="2"/>
          <w:sz w:val="28"/>
          <w:szCs w:val="28"/>
          <w:vertAlign w:val="subscript"/>
        </w:rPr>
        <w:t>ос</w:t>
      </w:r>
      <w:r>
        <w:rPr>
          <w:kern w:val="2"/>
          <w:sz w:val="28"/>
          <w:szCs w:val="28"/>
        </w:rPr>
        <w:t xml:space="preserve"> - стоимость основного средства, руб.;</w:t>
      </w:r>
    </w:p>
    <w:p>
      <w:pPr>
        <w:pStyle w:val="Normal"/>
        <w:widowControl w:val="false"/>
        <w:ind w:firstLine="540" w:right="0"/>
        <w:jc w:val="both"/>
        <w:rPr/>
      </w:pPr>
      <w:r>
        <w:rPr>
          <w:kern w:val="2"/>
          <w:sz w:val="28"/>
          <w:szCs w:val="28"/>
        </w:rPr>
        <w:t>T</w:t>
      </w:r>
      <w:r>
        <w:rPr>
          <w:kern w:val="2"/>
          <w:sz w:val="28"/>
          <w:szCs w:val="28"/>
          <w:vertAlign w:val="subscript"/>
        </w:rPr>
        <w:t>ос</w:t>
      </w:r>
      <w:r>
        <w:rPr>
          <w:kern w:val="2"/>
          <w:sz w:val="28"/>
          <w:szCs w:val="28"/>
        </w:rPr>
        <w:t xml:space="preserve"> - срок полезного использования основного средства.</w:t>
      </w:r>
    </w:p>
    <w:p>
      <w:pPr>
        <w:pStyle w:val="Normal"/>
        <w:widowControl w:val="false"/>
        <w:ind w:firstLine="540" w:right="0"/>
        <w:jc w:val="both"/>
        <w:rPr/>
      </w:pPr>
      <w:r>
        <w:rPr>
          <w:kern w:val="2"/>
          <w:sz w:val="28"/>
          <w:szCs w:val="28"/>
        </w:rPr>
        <w:t>В составе затрат на увеличение стоимости основных средств учитываются расходы на приобретение к</w:t>
      </w:r>
      <w:r>
        <w:rPr>
          <w:sz w:val="28"/>
          <w:szCs w:val="28"/>
        </w:rPr>
        <w:t>ресла с подлокотником, комплекта модульной мебели, многофункционального устройства, ноутбука, монитора, стола офисного, шкафа офисного, кресла офисного.</w:t>
      </w:r>
    </w:p>
    <w:p>
      <w:pPr>
        <w:pStyle w:val="Normal"/>
        <w:widowControl w:val="false"/>
        <w:ind w:firstLine="540" w:right="0"/>
        <w:jc w:val="both"/>
        <w:rPr/>
      </w:pPr>
      <w:r>
        <w:rPr>
          <w:kern w:val="2"/>
          <w:sz w:val="28"/>
          <w:szCs w:val="28"/>
        </w:rPr>
        <w:t>Затраты на увеличение стоимости материальных запасов (N</w:t>
      </w:r>
      <w:r>
        <w:rPr>
          <w:kern w:val="2"/>
          <w:sz w:val="28"/>
          <w:szCs w:val="28"/>
          <w:vertAlign w:val="superscript"/>
        </w:rPr>
        <w:t>МЗ</w:t>
      </w:r>
      <w:r>
        <w:rPr>
          <w:kern w:val="2"/>
          <w:sz w:val="28"/>
          <w:szCs w:val="28"/>
        </w:rPr>
        <w:t>) рассчитываются по следующей формуле:</w:t>
      </w:r>
    </w:p>
    <w:p>
      <w:pPr>
        <w:pStyle w:val="Normal"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</w:r>
    </w:p>
    <w:p>
      <w:pPr>
        <w:pStyle w:val="Normal"/>
        <w:jc w:val="center"/>
        <w:rPr/>
      </w:pPr>
      <w:r>
        <w:rPr>
          <w:sz w:val="28"/>
          <w:szCs w:val="28"/>
        </w:rPr>
        <w:t>N</w:t>
      </w:r>
      <w:r>
        <w:rPr>
          <w:sz w:val="28"/>
          <w:szCs w:val="28"/>
          <w:vertAlign w:val="superscript"/>
        </w:rPr>
        <w:t>МЗ1</w:t>
      </w:r>
      <w:r>
        <w:rPr>
          <w:sz w:val="28"/>
          <w:szCs w:val="28"/>
        </w:rPr>
        <w:t xml:space="preserve"> = n</w:t>
      </w:r>
      <w:r>
        <w:rPr>
          <w:sz w:val="28"/>
          <w:szCs w:val="28"/>
          <w:vertAlign w:val="superscript"/>
        </w:rPr>
        <w:t>МЗ1</w:t>
      </w:r>
      <w:r>
        <w:rPr>
          <w:sz w:val="28"/>
          <w:szCs w:val="28"/>
        </w:rPr>
        <w:t xml:space="preserve"> x R</w:t>
      </w:r>
      <w:r>
        <w:rPr>
          <w:sz w:val="28"/>
          <w:szCs w:val="28"/>
          <w:vertAlign w:val="superscript"/>
        </w:rPr>
        <w:t>МЗ1</w:t>
      </w:r>
      <w:r>
        <w:rPr>
          <w:sz w:val="28"/>
          <w:szCs w:val="28"/>
        </w:rPr>
        <w:t xml:space="preserve"> x D</w:t>
      </w:r>
      <w:r>
        <w:rPr>
          <w:sz w:val="28"/>
          <w:szCs w:val="28"/>
          <w:vertAlign w:val="subscript"/>
        </w:rPr>
        <w:t>pd</w:t>
      </w:r>
      <w:r>
        <w:rPr>
          <w:sz w:val="28"/>
          <w:szCs w:val="28"/>
        </w:rPr>
        <w:t>, где</w:t>
      </w:r>
    </w:p>
    <w:p>
      <w:pPr>
        <w:pStyle w:val="Normal"/>
        <w:ind w:firstLine="720"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540" w:right="0"/>
        <w:jc w:val="both"/>
        <w:rPr/>
      </w:pPr>
      <w:r>
        <w:rPr>
          <w:sz w:val="28"/>
          <w:szCs w:val="28"/>
        </w:rPr>
        <w:t>n</w:t>
      </w:r>
      <w:r>
        <w:rPr>
          <w:sz w:val="28"/>
          <w:szCs w:val="28"/>
          <w:vertAlign w:val="superscript"/>
        </w:rPr>
        <w:t>МЗ1</w:t>
      </w:r>
      <w:r>
        <w:rPr>
          <w:sz w:val="28"/>
          <w:szCs w:val="28"/>
        </w:rPr>
        <w:t xml:space="preserve"> – значение натуральной нормы материальных запасов</w:t>
      </w:r>
      <w:bookmarkStart w:id="19" w:name="_Hlk191568631"/>
      <w:r>
        <w:rPr>
          <w:sz w:val="28"/>
          <w:szCs w:val="28"/>
        </w:rPr>
        <w:t xml:space="preserve"> рассчитанное как отношение количества единиц обеспеченности материальными </w:t>
      </w:r>
      <w:r>
        <w:rPr>
          <w:kern w:val="2"/>
          <w:sz w:val="28"/>
          <w:szCs w:val="28"/>
        </w:rPr>
        <w:t>к среднему количеству участников мероприятий;</w:t>
      </w:r>
    </w:p>
    <w:p>
      <w:pPr>
        <w:pStyle w:val="Normal"/>
        <w:ind w:firstLine="720" w:right="0"/>
        <w:jc w:val="both"/>
        <w:rPr/>
      </w:pPr>
      <w:bookmarkEnd w:id="19"/>
      <w:r>
        <w:rPr>
          <w:sz w:val="28"/>
          <w:szCs w:val="28"/>
        </w:rPr>
        <w:t>R</w:t>
      </w:r>
      <w:r>
        <w:rPr>
          <w:sz w:val="28"/>
          <w:szCs w:val="28"/>
          <w:vertAlign w:val="superscript"/>
        </w:rPr>
        <w:t>МЗ1</w:t>
      </w:r>
      <w:r>
        <w:rPr>
          <w:sz w:val="28"/>
          <w:szCs w:val="28"/>
        </w:rPr>
        <w:t xml:space="preserve"> – стоимость материальных запасов, руб.</w:t>
      </w:r>
    </w:p>
    <w:p>
      <w:pPr>
        <w:pStyle w:val="Normal"/>
        <w:ind w:firstLine="720" w:right="0"/>
        <w:jc w:val="both"/>
        <w:rPr>
          <w:sz w:val="28"/>
          <w:szCs w:val="28"/>
        </w:rPr>
      </w:pPr>
      <w:r>
        <w:rPr>
          <w:sz w:val="28"/>
          <w:szCs w:val="28"/>
        </w:rPr>
        <w:t>В составе затрат на увеличение стоимости материальных запасов учитываются расходы на приобретение бумаги для офисной техники, батареек, бумаги цветной, ежедневников, клей-карандашей, клейкой ленты, корректирующей ленты, ножей канцелярских, ножниц, папок с завязками, ручек шариковых, флеш-памяти, бумаги туалетной, мешков для мусора 60 л, мешков для мусора 30 л, мыла жидкого, мыла туалетного, перчаток защитных трикотажных, перчаток хозяйственных, чистящего средства универсального, топливных карт.»;</w:t>
        <w:tab/>
      </w:r>
    </w:p>
    <w:p>
      <w:pPr>
        <w:pStyle w:val="Normal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Настоящее постановление вступает в силу с 01 января 2027 г., но не ранее дня официального обнародования посредством официального опубликования </w:t>
        <w:br/>
        <w:t>в печатном средстве массовой информации «Официальный бюллетень органов местного самоуправления муниципального образования город Пермь» и применяется при расчете объема финансового обеспечения выполнения муниципального задания, начиная с муниципального задания на 2027 год и плановый период 2028 и 2029 годов.</w:t>
      </w:r>
      <w:bookmarkStart w:id="20" w:name="_Hlk194053660"/>
      <w:bookmarkStart w:id="21" w:name="_Hlk76131702"/>
    </w:p>
    <w:p>
      <w:pPr>
        <w:pStyle w:val="Normal"/>
        <w:ind w:firstLine="720" w:right="0"/>
        <w:jc w:val="both"/>
        <w:rPr>
          <w:sz w:val="28"/>
          <w:szCs w:val="28"/>
        </w:rPr>
      </w:pPr>
      <w:r>
        <w:rPr>
          <w:sz w:val="28"/>
          <w:szCs w:val="28"/>
        </w:rPr>
        <w:t>3. Управлению по общим вопросам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</w:p>
    <w:p>
      <w:pPr>
        <w:pStyle w:val="Normal"/>
        <w:ind w:firstLine="720" w:right="0"/>
        <w:jc w:val="both"/>
        <w:rPr/>
      </w:pPr>
      <w:r>
        <w:rPr>
          <w:sz w:val="28"/>
          <w:szCs w:val="28"/>
        </w:rPr>
        <w:t xml:space="preserve">4.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gorodperm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>».</w:t>
      </w:r>
    </w:p>
    <w:p>
      <w:pPr>
        <w:pStyle w:val="Normal"/>
        <w:ind w:firstLine="720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Контроль за исполнением настоящего постановления возложить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>на и.о. заместителя главы администрации города Перми Ершову О.С.</w:t>
      </w:r>
    </w:p>
    <w:p>
      <w:pPr>
        <w:pStyle w:val="Normal"/>
        <w:ind w:firstLine="720"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20"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20"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20"/>
          <w:tab w:val="right" w:pos="9921" w:leader="none"/>
        </w:tabs>
        <w:spacing w:lineRule="exact" w:line="240"/>
        <w:jc w:val="both"/>
        <w:rPr>
          <w:sz w:val="28"/>
          <w:szCs w:val="28"/>
        </w:rPr>
      </w:pPr>
      <w:bookmarkEnd w:id="21"/>
      <w:r>
        <w:rPr>
          <w:sz w:val="28"/>
          <w:szCs w:val="28"/>
        </w:rPr>
        <w:t>Глава города Перми</w:t>
        <w:tab/>
        <w:t>Э.О. Соснин</w:t>
      </w:r>
      <w:bookmarkEnd w:id="20"/>
    </w:p>
    <w:p>
      <w:pPr>
        <w:pStyle w:val="Normal"/>
        <w:ind w:firstLine="720" w:right="0"/>
        <w:jc w:val="both"/>
        <w:rPr>
          <w:sz w:val="28"/>
          <w:szCs w:val="24"/>
        </w:rPr>
      </w:pPr>
      <w:r>
        <w:rPr>
          <w:sz w:val="28"/>
          <w:szCs w:val="24"/>
        </w:rPr>
      </w:r>
    </w:p>
    <w:p>
      <w:pPr>
        <w:pStyle w:val="Normal"/>
        <w:tabs>
          <w:tab w:val="clear" w:pos="720"/>
          <w:tab w:val="right" w:pos="9921" w:leader="none"/>
        </w:tabs>
        <w:spacing w:lineRule="exact" w:line="2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20"/>
          <w:tab w:val="right" w:pos="9921" w:leader="none"/>
        </w:tabs>
        <w:spacing w:lineRule="exact" w:line="240"/>
        <w:jc w:val="both"/>
        <w:rPr>
          <w:sz w:val="28"/>
          <w:szCs w:val="28"/>
        </w:rPr>
      </w:pPr>
      <w:r>
        <w:rPr>
          <w:sz w:val="28"/>
          <w:szCs w:val="28"/>
        </w:rPr>
      </w:r>
    </w:p>
    <w:sectPr>
      <w:headerReference w:type="even" r:id="rId6"/>
      <w:headerReference w:type="default" r:id="rId7"/>
      <w:headerReference w:type="first" r:id="rId8"/>
      <w:footerReference w:type="even" r:id="rId9"/>
      <w:footerReference w:type="default" r:id="rId10"/>
      <w:footerReference w:type="first" r:id="rId11"/>
      <w:type w:val="nextPage"/>
      <w:pgSz w:w="11906" w:h="16838"/>
      <w:pgMar w:left="1418" w:right="567" w:gutter="0" w:header="363" w:top="1134" w:footer="709" w:bottom="1134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swiss"/>
    <w:pitch w:val="variable"/>
  </w:font>
  <w:font w:name="Segoe UI">
    <w:charset w:val="01"/>
    <w:family w:val="auto"/>
    <w:pitch w:val="variable"/>
  </w:font>
  <w:font w:name="Courier New">
    <w:charset w:val="01"/>
    <w:family w:val="auto"/>
    <w:pitch w:val="variable"/>
  </w:font>
  <w:font w:name="Open Sans">
    <w:charset w:val="01"/>
    <w:family w:val="auto"/>
    <w:pitch w:val="variable"/>
  </w:font>
  <w:font w:name="Calibri">
    <w:charset w:val="01"/>
    <w:family w:val="auto"/>
    <w:pitch w:val="variable"/>
  </w:font>
  <w:font w:name="Tahoma"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>
        <w:sz w:val="16"/>
      </w:rPr>
    </w:pPr>
    <w:r>
      <w:rPr>
        <w:sz w:val="16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6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36360" rIns="36360" tIns="-20880" bIns="-2088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6</w:t>
    </w:r>
    <w:r>
      <w:rPr>
        <w:sz w:val="28"/>
        <w:szCs w:val="28"/>
      </w:rPr>
      <w:fldChar w:fldCharType="end"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WenQuanYi Zen Hei Sharp" w:cs="Droid Sans"/>
        <w:lang w:val="ru-RU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ind w:firstLine="709" w:right="-1"/>
      <w:jc w:val="both"/>
      <w:outlineLvl w:val="0"/>
    </w:pPr>
    <w:rPr>
      <w:sz w:val="24"/>
    </w:rPr>
  </w:style>
  <w:style w:type="paragraph" w:styleId="Heading2">
    <w:name w:val="heading 2"/>
    <w:basedOn w:val="Normal"/>
    <w:next w:val="Normal"/>
    <w:link w:val="2"/>
    <w:qFormat/>
    <w:pPr>
      <w:keepNext w:val="true"/>
      <w:ind w:right="-1"/>
      <w:jc w:val="both"/>
      <w:outlineLvl w:val="1"/>
    </w:pPr>
    <w:rPr>
      <w:sz w:val="24"/>
    </w:rPr>
  </w:style>
  <w:style w:type="paragraph" w:styleId="Heading3">
    <w:name w:val="heading 3"/>
    <w:basedOn w:val="Normal"/>
    <w:next w:val="Normal"/>
    <w:link w:val="3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next w:val="Normal"/>
    <w:link w:val="4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6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CaptionChar">
    <w:name w:val="Caption Char"/>
    <w:basedOn w:val="DefaultParagraphFont"/>
    <w:uiPriority w:val="35"/>
    <w:qFormat/>
    <w:rPr>
      <w:b/>
      <w:bCs/>
      <w:color w:themeColor="accent1" w:val="4F81BD"/>
      <w:sz w:val="18"/>
      <w:szCs w:val="1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uiPriority w:val="9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uiPriority w:val="10"/>
    <w:qFormat/>
    <w:rPr>
      <w:sz w:val="48"/>
      <w:szCs w:val="48"/>
    </w:rPr>
  </w:style>
  <w:style w:type="character" w:styleId="SubtitleChar" w:customStyle="1">
    <w:name w:val="Subtitle Char"/>
    <w:uiPriority w:val="11"/>
    <w:qFormat/>
    <w:rPr>
      <w:sz w:val="24"/>
      <w:szCs w:val="24"/>
    </w:rPr>
  </w:style>
  <w:style w:type="character" w:styleId="QuoteChar" w:customStyle="1">
    <w:name w:val="Quote Char"/>
    <w:uiPriority w:val="29"/>
    <w:qFormat/>
    <w:rPr>
      <w:i/>
    </w:rPr>
  </w:style>
  <w:style w:type="character" w:styleId="IntenseQuoteChar" w:customStyle="1">
    <w:name w:val="Intense Quote Char"/>
    <w:uiPriority w:val="30"/>
    <w:qFormat/>
    <w:rPr>
      <w:i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character" w:styleId="FootnoteTextChar" w:customStyle="1">
    <w:name w:val="Footnote Text Char"/>
    <w:uiPriority w:val="99"/>
    <w:qFormat/>
    <w:rPr>
      <w:sz w:val="18"/>
    </w:rPr>
  </w:style>
  <w:style w:type="character" w:styleId="Style5" w:customStyle="1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 w:customStyle="1">
    <w:name w:val="Endnote Text Char"/>
    <w:uiPriority w:val="99"/>
    <w:qFormat/>
    <w:rPr>
      <w:sz w:val="20"/>
    </w:rPr>
  </w:style>
  <w:style w:type="character" w:styleId="Style6" w:customStyle="1">
    <w:name w:val="Символ концевой сноски"/>
    <w:uiPriority w:val="99"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ageNumber">
    <w:name w:val="page number"/>
    <w:basedOn w:val="DefaultParagraphFont"/>
    <w:rPr/>
  </w:style>
  <w:style w:type="character" w:styleId="Style7" w:customStyle="1">
    <w:name w:val="Текст выноски Знак"/>
    <w:link w:val="BalloonText"/>
    <w:qFormat/>
    <w:rPr>
      <w:rFonts w:ascii="Segoe UI" w:hAnsi="Segoe UI" w:cs="Segoe UI"/>
      <w:sz w:val="18"/>
      <w:szCs w:val="18"/>
    </w:rPr>
  </w:style>
  <w:style w:type="character" w:styleId="Style8" w:customStyle="1">
    <w:name w:val="Верхний колонтитул Знак"/>
    <w:uiPriority w:val="99"/>
    <w:qFormat/>
    <w:rPr/>
  </w:style>
  <w:style w:type="character" w:styleId="FollowedHyperlink">
    <w:name w:val="FollowedHyperlink"/>
    <w:uiPriority w:val="99"/>
    <w:unhideWhenUsed/>
    <w:rPr>
      <w:color w:val="800080"/>
      <w:u w:val="single"/>
    </w:rPr>
  </w:style>
  <w:style w:type="character" w:styleId="Style9" w:customStyle="1">
    <w:name w:val="Основной текст Знак"/>
    <w:qFormat/>
    <w:rPr>
      <w:rFonts w:ascii="Courier New" w:hAnsi="Courier New"/>
      <w:sz w:val="26"/>
    </w:rPr>
  </w:style>
  <w:style w:type="character" w:styleId="Style10" w:customStyle="1">
    <w:name w:val="Нижний колонтитул Знак"/>
    <w:qFormat/>
    <w:rPr/>
  </w:style>
  <w:style w:type="character" w:styleId="Style11" w:customStyle="1">
    <w:name w:val="Подпись Знак"/>
    <w:qFormat/>
    <w:rPr>
      <w:sz w:val="28"/>
    </w:rPr>
  </w:style>
  <w:style w:type="character" w:styleId="CommentReference">
    <w:name w:val="annotation reference"/>
    <w:qFormat/>
    <w:rPr>
      <w:sz w:val="16"/>
      <w:szCs w:val="16"/>
    </w:rPr>
  </w:style>
  <w:style w:type="character" w:styleId="Style12" w:customStyle="1">
    <w:name w:val="Текст примечания Знак"/>
    <w:basedOn w:val="DefaultParagraphFont"/>
    <w:qFormat/>
    <w:rPr/>
  </w:style>
  <w:style w:type="character" w:styleId="Style13" w:customStyle="1">
    <w:name w:val="Тема примечания Знак"/>
    <w:link w:val="annotationsubject"/>
    <w:qFormat/>
    <w:rPr>
      <w:b/>
      <w:bCs/>
    </w:rPr>
  </w:style>
  <w:style w:type="character" w:styleId="3" w:customStyle="1">
    <w:name w:val="Заголовок 3 Знак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1" w:customStyle="1">
    <w:name w:val="Заголовок 1 Знак"/>
    <w:qFormat/>
    <w:rPr>
      <w:sz w:val="24"/>
    </w:rPr>
  </w:style>
  <w:style w:type="character" w:styleId="2" w:customStyle="1">
    <w:name w:val="Заголовок 2 Знак"/>
    <w:qFormat/>
    <w:rPr>
      <w:sz w:val="24"/>
    </w:rPr>
  </w:style>
  <w:style w:type="character" w:styleId="Style14" w:customStyle="1">
    <w:name w:val="Заголовок Знак"/>
    <w:uiPriority w:val="10"/>
    <w:qFormat/>
    <w:rPr>
      <w:sz w:val="48"/>
      <w:szCs w:val="48"/>
    </w:rPr>
  </w:style>
  <w:style w:type="character" w:styleId="Style15" w:customStyle="1">
    <w:name w:val="Подзаголовок Знак"/>
    <w:uiPriority w:val="11"/>
    <w:qFormat/>
    <w:rPr>
      <w:sz w:val="24"/>
      <w:szCs w:val="24"/>
    </w:rPr>
  </w:style>
  <w:style w:type="character" w:styleId="21" w:customStyle="1">
    <w:name w:val="Цитата 2 Знак"/>
    <w:link w:val="Quote"/>
    <w:uiPriority w:val="29"/>
    <w:qFormat/>
    <w:rPr>
      <w:i/>
    </w:rPr>
  </w:style>
  <w:style w:type="character" w:styleId="Style16" w:customStyle="1">
    <w:name w:val="Выделенная цитата Знак"/>
    <w:link w:val="IntenseQuote"/>
    <w:uiPriority w:val="30"/>
    <w:qFormat/>
    <w:rPr>
      <w:i/>
      <w:shd w:fill="F2F2F2" w:val="clear"/>
    </w:rPr>
  </w:style>
  <w:style w:type="character" w:styleId="HeaderChar" w:customStyle="1">
    <w:name w:val="Header Char"/>
    <w:uiPriority w:val="99"/>
    <w:qFormat/>
    <w:rPr/>
  </w:style>
  <w:style w:type="character" w:styleId="FooterChar" w:customStyle="1">
    <w:name w:val="Footer Char"/>
    <w:uiPriority w:val="99"/>
    <w:qFormat/>
    <w:rPr/>
  </w:style>
  <w:style w:type="character" w:styleId="Style17" w:customStyle="1">
    <w:name w:val="Название объекта Знак"/>
    <w:uiPriority w:val="99"/>
    <w:qFormat/>
    <w:rPr/>
  </w:style>
  <w:style w:type="character" w:styleId="Style18" w:customStyle="1">
    <w:name w:val="Текст сноски Знак"/>
    <w:uiPriority w:val="99"/>
    <w:qFormat/>
    <w:rPr>
      <w:sz w:val="18"/>
    </w:rPr>
  </w:style>
  <w:style w:type="character" w:styleId="Style19" w:customStyle="1">
    <w:name w:val="Текст концевой сноски Знак"/>
    <w:basedOn w:val="DefaultParagraphFont"/>
    <w:uiPriority w:val="99"/>
    <w:qFormat/>
    <w:rPr/>
  </w:style>
  <w:style w:type="character" w:styleId="Style20" w:customStyle="1">
    <w:name w:val="Основной текст с отступом Знак"/>
    <w:qFormat/>
    <w:rPr>
      <w:sz w:val="26"/>
    </w:rPr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WenQuanYi Zen Hei Sharp" w:cs="Droid Sans"/>
      <w:sz w:val="28"/>
      <w:szCs w:val="28"/>
    </w:rPr>
  </w:style>
  <w:style w:type="paragraph" w:styleId="BodyText">
    <w:name w:val="Body Text"/>
    <w:basedOn w:val="Normal"/>
    <w:link w:val="Style9"/>
    <w:pPr>
      <w:ind w:right="3117"/>
    </w:pPr>
    <w:rPr>
      <w:rFonts w:ascii="Courier New" w:hAnsi="Courier New"/>
      <w:sz w:val="26"/>
    </w:rPr>
  </w:style>
  <w:style w:type="paragraph" w:styleId="List">
    <w:name w:val="List"/>
    <w:basedOn w:val="BodyText"/>
    <w:pPr/>
    <w:rPr>
      <w:rFonts w:cs="Droid Sans"/>
    </w:rPr>
  </w:style>
  <w:style w:type="paragraph" w:styleId="Caption">
    <w:name w:val="caption"/>
    <w:basedOn w:val="Normal"/>
    <w:next w:val="Normal"/>
    <w:link w:val="Style17"/>
    <w:qFormat/>
    <w:pPr>
      <w:widowControl w:val="false"/>
      <w:spacing w:lineRule="exact" w:line="360"/>
      <w:jc w:val="center"/>
    </w:pPr>
    <w:rPr>
      <w:b/>
      <w:sz w:val="32"/>
    </w:rPr>
  </w:style>
  <w:style w:type="paragraph" w:styleId="Style22">
    <w:name w:val="Указатель"/>
    <w:basedOn w:val="Normal"/>
    <w:qFormat/>
    <w:pPr>
      <w:suppressLineNumbers/>
    </w:pPr>
    <w:rPr>
      <w:rFonts w:cs="Droid Sans"/>
    </w:rPr>
  </w:style>
  <w:style w:type="paragraph" w:styleId="Title">
    <w:name w:val="Title"/>
    <w:basedOn w:val="Normal"/>
    <w:next w:val="BodyText"/>
    <w:link w:val="Style14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IndexHeading">
    <w:name w:val="index heading"/>
    <w:basedOn w:val="Title"/>
    <w:pPr/>
    <w:rPr/>
  </w:style>
  <w:style w:type="paragraph" w:styleId="ListParagraph">
    <w:name w:val="List Paragraph"/>
    <w:basedOn w:val="Normal"/>
    <w:uiPriority w:val="34"/>
    <w:qFormat/>
    <w:pPr>
      <w:spacing w:lineRule="auto" w:line="276" w:before="0" w:after="200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NoSpacing">
    <w:name w:val="No Spacing"/>
    <w:uiPriority w:val="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Subtitle">
    <w:name w:val="Subtitle"/>
    <w:basedOn w:val="Normal"/>
    <w:next w:val="Normal"/>
    <w:link w:val="Style15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Style1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HeaderandFooter" w:customStyle="1">
    <w:name w:val="Header and Footer"/>
    <w:basedOn w:val="Normal"/>
    <w:qFormat/>
    <w:pPr/>
    <w:rPr/>
  </w:style>
  <w:style w:type="paragraph" w:styleId="Header">
    <w:name w:val="header"/>
    <w:basedOn w:val="Normal"/>
    <w:link w:val="Style8"/>
    <w:uiPriority w:val="99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Footer">
    <w:name w:val="footer"/>
    <w:basedOn w:val="Normal"/>
    <w:link w:val="Style10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FootnoteText">
    <w:name w:val="footnote text"/>
    <w:basedOn w:val="Normal"/>
    <w:link w:val="Style18"/>
    <w:uiPriority w:val="99"/>
    <w:unhideWhenUsed/>
    <w:pPr>
      <w:spacing w:before="0" w:after="40"/>
    </w:pPr>
    <w:rPr>
      <w:sz w:val="18"/>
    </w:rPr>
  </w:style>
  <w:style w:type="paragraph" w:styleId="EndnoteText">
    <w:name w:val="endnote text"/>
    <w:basedOn w:val="Normal"/>
    <w:link w:val="Style19"/>
    <w:uiPriority w:val="99"/>
    <w:unhideWhenUsed/>
    <w:pPr/>
    <w:rPr/>
  </w:style>
  <w:style w:type="paragraph" w:styleId="TOC1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left="2268"/>
    </w:pPr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BodyTextIndent">
    <w:name w:val="Body Text Indent"/>
    <w:basedOn w:val="Normal"/>
    <w:link w:val="Style20"/>
    <w:pPr>
      <w:ind w:right="-1"/>
      <w:jc w:val="both"/>
    </w:pPr>
    <w:rPr>
      <w:sz w:val="26"/>
    </w:rPr>
  </w:style>
  <w:style w:type="paragraph" w:styleId="BalloonText">
    <w:name w:val="Balloon Text"/>
    <w:basedOn w:val="Normal"/>
    <w:link w:val="Style7"/>
    <w:qFormat/>
    <w:pPr/>
    <w:rPr>
      <w:rFonts w:ascii="Segoe UI" w:hAnsi="Segoe UI" w:cs="Segoe UI"/>
      <w:sz w:val="18"/>
      <w:szCs w:val="18"/>
    </w:rPr>
  </w:style>
  <w:style w:type="paragraph" w:styleId="xl65" w:customStyle="1">
    <w:name w:val="xl6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styleId="xl66" w:customStyle="1">
    <w:name w:val="xl6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styleId="xl67" w:customStyle="1">
    <w:name w:val="xl67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styleId="xl68" w:customStyle="1">
    <w:name w:val="xl6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  <w:szCs w:val="16"/>
    </w:rPr>
  </w:style>
  <w:style w:type="paragraph" w:styleId="xl69" w:customStyle="1">
    <w:name w:val="xl69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16"/>
      <w:szCs w:val="16"/>
    </w:rPr>
  </w:style>
  <w:style w:type="paragraph" w:styleId="xl70" w:customStyle="1">
    <w:name w:val="xl7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  <w:szCs w:val="16"/>
    </w:rPr>
  </w:style>
  <w:style w:type="paragraph" w:styleId="xl71" w:customStyle="1">
    <w:name w:val="xl71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styleId="xl72" w:customStyle="1">
    <w:name w:val="xl72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16"/>
      <w:szCs w:val="16"/>
    </w:rPr>
  </w:style>
  <w:style w:type="paragraph" w:styleId="xl73" w:customStyle="1">
    <w:name w:val="xl7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color w:val="000000"/>
      <w:sz w:val="16"/>
      <w:szCs w:val="16"/>
    </w:rPr>
  </w:style>
  <w:style w:type="paragraph" w:styleId="xl74" w:customStyle="1">
    <w:name w:val="xl7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styleId="xl75" w:customStyle="1">
    <w:name w:val="xl7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6"/>
      <w:szCs w:val="16"/>
    </w:rPr>
  </w:style>
  <w:style w:type="paragraph" w:styleId="xl76" w:customStyle="1">
    <w:name w:val="xl7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styleId="xl77" w:customStyle="1">
    <w:name w:val="xl77"/>
    <w:basedOn w:val="Normal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styleId="xl78" w:customStyle="1">
    <w:name w:val="xl78"/>
    <w:basedOn w:val="Normal"/>
    <w:qFormat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color w:val="000000"/>
      <w:sz w:val="16"/>
      <w:szCs w:val="16"/>
    </w:rPr>
  </w:style>
  <w:style w:type="paragraph" w:styleId="xl79" w:customStyle="1">
    <w:name w:val="xl79"/>
    <w:basedOn w:val="Normal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16"/>
      <w:szCs w:val="16"/>
    </w:rPr>
  </w:style>
  <w:style w:type="paragraph" w:styleId="Style23" w:customStyle="1">
    <w:name w:val="Форма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ConsPlusNormal" w:customStyle="1">
    <w:name w:val="ConsPlus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font5" w:customStyle="1">
    <w:name w:val="font5"/>
    <w:basedOn w:val="Normal"/>
    <w:qFormat/>
    <w:pPr>
      <w:spacing w:beforeAutospacing="1" w:afterAutospacing="1"/>
    </w:pPr>
    <w:rPr>
      <w:color w:val="000000"/>
      <w:sz w:val="28"/>
      <w:szCs w:val="28"/>
    </w:rPr>
  </w:style>
  <w:style w:type="paragraph" w:styleId="xl80" w:customStyle="1">
    <w:name w:val="xl80"/>
    <w:basedOn w:val="Normal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styleId="xl81" w:customStyle="1">
    <w:name w:val="xl81"/>
    <w:basedOn w:val="Normal"/>
    <w:qFormat/>
    <w:pPr>
      <w:pBdr>
        <w:top w:val="single" w:sz="4" w:space="0" w:color="000000"/>
        <w:lef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styleId="xl82" w:customStyle="1">
    <w:name w:val="xl82"/>
    <w:basedOn w:val="Normal"/>
    <w:qFormat/>
    <w:pPr>
      <w:pBdr>
        <w:top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styleId="xl83" w:customStyle="1">
    <w:name w:val="xl8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styleId="xl84" w:customStyle="1">
    <w:name w:val="xl8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styleId="xl85" w:customStyle="1">
    <w:name w:val="xl85"/>
    <w:basedOn w:val="Normal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styleId="xl86" w:customStyle="1">
    <w:name w:val="xl86"/>
    <w:basedOn w:val="Normal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styleId="xl87" w:customStyle="1">
    <w:name w:val="xl87"/>
    <w:basedOn w:val="Normal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color w:val="000000"/>
      <w:sz w:val="28"/>
      <w:szCs w:val="28"/>
    </w:rPr>
  </w:style>
  <w:style w:type="paragraph" w:styleId="xl88" w:customStyle="1">
    <w:name w:val="xl8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color w:val="000000"/>
      <w:sz w:val="28"/>
      <w:szCs w:val="28"/>
    </w:rPr>
  </w:style>
  <w:style w:type="paragraph" w:styleId="xl89" w:customStyle="1">
    <w:name w:val="xl8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styleId="xl90" w:customStyle="1">
    <w:name w:val="xl9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styleId="xl91" w:customStyle="1">
    <w:name w:val="xl91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styleId="xl92" w:customStyle="1">
    <w:name w:val="xl92"/>
    <w:basedOn w:val="Normal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color w:val="000000"/>
      <w:sz w:val="28"/>
      <w:szCs w:val="28"/>
    </w:rPr>
  </w:style>
  <w:style w:type="paragraph" w:styleId="xl93" w:customStyle="1">
    <w:name w:val="xl93"/>
    <w:basedOn w:val="Normal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styleId="xl94" w:customStyle="1">
    <w:name w:val="xl94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styleId="xl95" w:customStyle="1">
    <w:name w:val="xl9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styleId="xl96" w:customStyle="1">
    <w:name w:val="xl9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styleId="xl97" w:customStyle="1">
    <w:name w:val="xl97"/>
    <w:basedOn w:val="Normal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styleId="xl98" w:customStyle="1">
    <w:name w:val="xl9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8"/>
      <w:szCs w:val="28"/>
    </w:rPr>
  </w:style>
  <w:style w:type="paragraph" w:styleId="xl99" w:customStyle="1">
    <w:name w:val="xl9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/>
      <w:jc w:val="center"/>
    </w:pPr>
    <w:rPr>
      <w:sz w:val="28"/>
      <w:szCs w:val="28"/>
    </w:rPr>
  </w:style>
  <w:style w:type="paragraph" w:styleId="xl100" w:customStyle="1">
    <w:name w:val="xl100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right"/>
    </w:pPr>
    <w:rPr>
      <w:sz w:val="24"/>
      <w:szCs w:val="24"/>
    </w:rPr>
  </w:style>
  <w:style w:type="paragraph" w:styleId="xl101" w:customStyle="1">
    <w:name w:val="xl101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4"/>
      <w:szCs w:val="24"/>
    </w:rPr>
  </w:style>
  <w:style w:type="paragraph" w:styleId="xl102" w:customStyle="1">
    <w:name w:val="xl102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4"/>
      <w:szCs w:val="24"/>
    </w:rPr>
  </w:style>
  <w:style w:type="paragraph" w:styleId="xl103" w:customStyle="1">
    <w:name w:val="xl10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right"/>
    </w:pPr>
    <w:rPr>
      <w:sz w:val="24"/>
      <w:szCs w:val="24"/>
    </w:rPr>
  </w:style>
  <w:style w:type="paragraph" w:styleId="xl104" w:customStyle="1">
    <w:name w:val="xl104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4"/>
      <w:szCs w:val="24"/>
    </w:rPr>
  </w:style>
  <w:style w:type="paragraph" w:styleId="xl105" w:customStyle="1">
    <w:name w:val="xl10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4"/>
      <w:szCs w:val="24"/>
    </w:rPr>
  </w:style>
  <w:style w:type="paragraph" w:styleId="xl106" w:customStyle="1">
    <w:name w:val="xl106"/>
    <w:basedOn w:val="Normal"/>
    <w:qFormat/>
    <w:pPr>
      <w:pBdr>
        <w:top w:val="single" w:sz="4" w:space="0" w:color="000000"/>
        <w:left w:val="single" w:sz="8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4"/>
      <w:szCs w:val="24"/>
    </w:rPr>
  </w:style>
  <w:style w:type="paragraph" w:styleId="xl107" w:customStyle="1">
    <w:name w:val="xl107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4"/>
      <w:szCs w:val="24"/>
    </w:rPr>
  </w:style>
  <w:style w:type="paragraph" w:styleId="xl108" w:customStyle="1">
    <w:name w:val="xl10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right"/>
    </w:pPr>
    <w:rPr>
      <w:sz w:val="24"/>
      <w:szCs w:val="24"/>
    </w:rPr>
  </w:style>
  <w:style w:type="paragraph" w:styleId="xl109" w:customStyle="1">
    <w:name w:val="xl10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right"/>
    </w:pPr>
    <w:rPr>
      <w:sz w:val="24"/>
      <w:szCs w:val="24"/>
    </w:rPr>
  </w:style>
  <w:style w:type="paragraph" w:styleId="xl110" w:customStyle="1">
    <w:name w:val="xl11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right"/>
    </w:pPr>
    <w:rPr>
      <w:sz w:val="24"/>
      <w:szCs w:val="24"/>
    </w:rPr>
  </w:style>
  <w:style w:type="paragraph" w:styleId="xl111" w:customStyle="1">
    <w:name w:val="xl111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right"/>
    </w:pPr>
    <w:rPr>
      <w:sz w:val="24"/>
      <w:szCs w:val="24"/>
    </w:rPr>
  </w:style>
  <w:style w:type="paragraph" w:styleId="xl112" w:customStyle="1">
    <w:name w:val="xl112"/>
    <w:basedOn w:val="Normal"/>
    <w:qFormat/>
    <w:pPr>
      <w:shd w:val="clear" w:color="000000" w:fill="FFFFFF"/>
      <w:spacing w:beforeAutospacing="1" w:afterAutospacing="1"/>
    </w:pPr>
    <w:rPr>
      <w:sz w:val="24"/>
      <w:szCs w:val="24"/>
    </w:rPr>
  </w:style>
  <w:style w:type="paragraph" w:styleId="xl113" w:customStyle="1">
    <w:name w:val="xl11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right"/>
    </w:pPr>
    <w:rPr>
      <w:sz w:val="24"/>
      <w:szCs w:val="24"/>
    </w:rPr>
  </w:style>
  <w:style w:type="paragraph" w:styleId="xl114" w:customStyle="1">
    <w:name w:val="xl11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right"/>
    </w:pPr>
    <w:rPr>
      <w:sz w:val="24"/>
      <w:szCs w:val="24"/>
    </w:rPr>
  </w:style>
  <w:style w:type="paragraph" w:styleId="xl115" w:customStyle="1">
    <w:name w:val="xl11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</w:pPr>
    <w:rPr>
      <w:color w:val="FF0000"/>
      <w:sz w:val="24"/>
      <w:szCs w:val="24"/>
    </w:rPr>
  </w:style>
  <w:style w:type="paragraph" w:styleId="xl116" w:customStyle="1">
    <w:name w:val="xl11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right"/>
    </w:pPr>
    <w:rPr>
      <w:sz w:val="24"/>
      <w:szCs w:val="24"/>
    </w:rPr>
  </w:style>
  <w:style w:type="paragraph" w:styleId="xl117" w:customStyle="1">
    <w:name w:val="xl117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sz w:val="24"/>
      <w:szCs w:val="24"/>
    </w:rPr>
  </w:style>
  <w:style w:type="paragraph" w:styleId="xl118" w:customStyle="1">
    <w:name w:val="xl118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styleId="xl119" w:customStyle="1">
    <w:name w:val="xl119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right"/>
    </w:pPr>
    <w:rPr>
      <w:sz w:val="24"/>
      <w:szCs w:val="24"/>
    </w:rPr>
  </w:style>
  <w:style w:type="paragraph" w:styleId="xl120" w:customStyle="1">
    <w:name w:val="xl12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styleId="xl121" w:customStyle="1">
    <w:name w:val="xl121"/>
    <w:basedOn w:val="Normal"/>
    <w:qFormat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styleId="xl122" w:customStyle="1">
    <w:name w:val="xl122"/>
    <w:basedOn w:val="Normal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styleId="xl123" w:customStyle="1">
    <w:name w:val="xl12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Autospacing="1" w:afterAutospacing="1"/>
      <w:jc w:val="center"/>
    </w:pPr>
    <w:rPr>
      <w:sz w:val="24"/>
      <w:szCs w:val="24"/>
    </w:rPr>
  </w:style>
  <w:style w:type="paragraph" w:styleId="xl124" w:customStyle="1">
    <w:name w:val="xl124"/>
    <w:basedOn w:val="Normal"/>
    <w:qFormat/>
    <w:pPr>
      <w:pBdr>
        <w:top w:val="single" w:sz="4" w:space="0" w:color="000000"/>
        <w:bottom w:val="single" w:sz="4" w:space="0" w:color="000000"/>
      </w:pBdr>
      <w:shd w:val="clear" w:color="000000" w:fill="FFFFFF"/>
      <w:spacing w:beforeAutospacing="1" w:afterAutospacing="1"/>
      <w:jc w:val="center"/>
    </w:pPr>
    <w:rPr>
      <w:sz w:val="24"/>
      <w:szCs w:val="24"/>
    </w:rPr>
  </w:style>
  <w:style w:type="paragraph" w:styleId="xl125" w:customStyle="1">
    <w:name w:val="xl125"/>
    <w:basedOn w:val="Normal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4"/>
      <w:szCs w:val="24"/>
    </w:rPr>
  </w:style>
  <w:style w:type="paragraph" w:styleId="font6" w:customStyle="1">
    <w:name w:val="font6"/>
    <w:basedOn w:val="Normal"/>
    <w:qFormat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styleId="font7" w:customStyle="1">
    <w:name w:val="font7"/>
    <w:basedOn w:val="Normal"/>
    <w:qFormat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styleId="font8" w:customStyle="1">
    <w:name w:val="font8"/>
    <w:basedOn w:val="Normal"/>
    <w:qFormat/>
    <w:pPr>
      <w:spacing w:beforeAutospacing="1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styleId="11" w:customStyle="1">
    <w:name w:val="Прощание1"/>
    <w:basedOn w:val="BodyText"/>
    <w:qFormat/>
    <w:pPr>
      <w:tabs>
        <w:tab w:val="clear" w:pos="720"/>
        <w:tab w:val="left" w:pos="1673" w:leader="none"/>
      </w:tabs>
      <w:spacing w:lineRule="exact" w:line="240" w:before="240" w:after="0"/>
      <w:ind w:hanging="1985" w:left="1985" w:right="0"/>
      <w:jc w:val="both"/>
    </w:pPr>
    <w:rPr>
      <w:rFonts w:ascii="Times New Roman" w:hAnsi="Times New Roman"/>
      <w:sz w:val="28"/>
    </w:rPr>
  </w:style>
  <w:style w:type="paragraph" w:styleId="Style24" w:customStyle="1">
    <w:name w:val="Подпись на  бланке должностного лица"/>
    <w:basedOn w:val="Normal"/>
    <w:next w:val="BodyText"/>
    <w:qFormat/>
    <w:pPr>
      <w:spacing w:lineRule="exact" w:line="240" w:before="480" w:after="0"/>
      <w:ind w:left="7088"/>
    </w:pPr>
    <w:rPr>
      <w:sz w:val="28"/>
    </w:rPr>
  </w:style>
  <w:style w:type="paragraph" w:styleId="Signature">
    <w:name w:val="Signature"/>
    <w:basedOn w:val="Normal"/>
    <w:next w:val="BodyText"/>
    <w:link w:val="Style11"/>
    <w:pPr>
      <w:tabs>
        <w:tab w:val="clear" w:pos="720"/>
        <w:tab w:val="left" w:pos="5103" w:leader="none"/>
        <w:tab w:val="right" w:pos="9639" w:leader="none"/>
      </w:tabs>
      <w:spacing w:lineRule="exact" w:line="240" w:before="480" w:after="0"/>
    </w:pPr>
    <w:rPr>
      <w:sz w:val="28"/>
    </w:rPr>
  </w:style>
  <w:style w:type="paragraph" w:styleId="CommentText">
    <w:name w:val="annotation text"/>
    <w:basedOn w:val="Normal"/>
    <w:link w:val="Style12"/>
    <w:pPr>
      <w:ind w:firstLine="720"/>
      <w:jc w:val="both"/>
    </w:pPr>
    <w:rPr/>
  </w:style>
  <w:style w:type="paragraph" w:styleId="annotationsubject">
    <w:name w:val="annotation subject"/>
    <w:basedOn w:val="CommentText"/>
    <w:next w:val="CommentText"/>
    <w:link w:val="Style13"/>
    <w:qFormat/>
    <w:pPr/>
    <w:rPr>
      <w:b/>
      <w:bCs/>
    </w:rPr>
  </w:style>
  <w:style w:type="paragraph" w:styleId="consplustitle" w:customStyle="1">
    <w:name w:val="consplustitle"/>
    <w:basedOn w:val="Normal"/>
    <w:qFormat/>
    <w:pPr>
      <w:spacing w:beforeAutospacing="1" w:afterAutospacing="1"/>
    </w:pPr>
    <w:rPr>
      <w:sz w:val="24"/>
      <w:szCs w:val="24"/>
    </w:rPr>
  </w:style>
  <w:style w:type="paragraph" w:styleId="Style25" w:customStyle="1">
    <w:name w:val="Содержимое врезки"/>
    <w:basedOn w:val="Normal"/>
    <w:qFormat/>
    <w:pPr/>
    <w:rPr/>
  </w:style>
  <w:style w:type="paragraph" w:styleId="Style26" w:customStyle="1">
    <w:name w:val="Верхний колонтитул слева"/>
    <w:basedOn w:val="Header"/>
    <w:qFormat/>
    <w:pPr/>
    <w:rPr/>
  </w:style>
  <w:style w:type="paragraph" w:styleId="Style27">
    <w:name w:val="Содержимое таблицы"/>
    <w:basedOn w:val="Normal"/>
    <w:qFormat/>
    <w:pPr>
      <w:widowControl w:val="false"/>
      <w:suppressLineNumbers/>
    </w:pPr>
    <w:rPr/>
  </w:style>
  <w:style w:type="paragraph" w:styleId="Style28">
    <w:name w:val="Заголовок таблицы"/>
    <w:basedOn w:val="Style27"/>
    <w:qFormat/>
    <w:pPr>
      <w:suppressLineNumbers/>
      <w:jc w:val="center"/>
    </w:pPr>
    <w:rPr>
      <w:b/>
      <w:bCs/>
    </w:rPr>
  </w:style>
  <w:style w:type="numbering" w:styleId="Style29" w:default="1">
    <w:name w:val="Без списка"/>
    <w:uiPriority w:val="99"/>
    <w:semiHidden/>
    <w:unhideWhenUsed/>
    <w:qFormat/>
  </w:style>
  <w:style w:type="numbering" w:styleId="12" w:customStyle="1">
    <w:name w:val="Нет списка1"/>
    <w:uiPriority w:val="99"/>
    <w:semiHidden/>
    <w:unhideWhenUsed/>
    <w:qFormat/>
  </w:style>
  <w:style w:type="numbering" w:styleId="111" w:customStyle="1">
    <w:name w:val="Нет списка11"/>
    <w:uiPriority w:val="99"/>
    <w:semiHidden/>
    <w:unhideWhenUsed/>
    <w:qFormat/>
  </w:style>
  <w:style w:type="numbering" w:styleId="1111" w:customStyle="1">
    <w:name w:val="Нет списка111"/>
    <w:uiPriority w:val="99"/>
    <w:semiHidden/>
    <w:unhideWhenUsed/>
    <w:qFormat/>
  </w:style>
  <w:style w:type="numbering" w:styleId="22" w:customStyle="1">
    <w:name w:val="Нет списка2"/>
    <w:uiPriority w:val="99"/>
    <w:semiHidden/>
    <w:unhideWhenUsed/>
    <w:qFormat/>
  </w:style>
  <w:style w:type="numbering" w:styleId="31" w:customStyle="1">
    <w:name w:val="Нет списка3"/>
    <w:uiPriority w:val="99"/>
    <w:semiHidden/>
    <w:unhideWhenUsed/>
    <w:qFormat/>
  </w:style>
  <w:style w:type="numbering" w:styleId="41" w:customStyle="1">
    <w:name w:val="Нет списка4"/>
    <w:uiPriority w:val="99"/>
    <w:semiHidden/>
    <w:unhideWhenUsed/>
    <w:qFormat/>
  </w:style>
  <w:style w:type="numbering" w:styleId="51" w:customStyle="1">
    <w:name w:val="Нет списка5"/>
    <w:semiHidden/>
    <w:qFormat/>
  </w:style>
  <w:style w:type="numbering" w:styleId="61" w:customStyle="1">
    <w:name w:val="Нет списка6"/>
    <w:semiHidden/>
    <w:unhideWhenUsed/>
    <w:qFormat/>
  </w:style>
  <w:style w:type="numbering" w:styleId="121" w:customStyle="1">
    <w:name w:val="Нет списка12"/>
    <w:semiHidden/>
    <w:qFormat/>
  </w:style>
  <w:style w:type="numbering" w:styleId="71" w:customStyle="1">
    <w:name w:val="Нет списка7"/>
    <w:semiHidden/>
    <w:qFormat/>
  </w:style>
  <w:style w:type="numbering" w:styleId="13" w:customStyle="1">
    <w:name w:val="Нет списка13"/>
    <w:semiHidden/>
    <w:qFormat/>
  </w:style>
  <w:style w:type="table" w:default="1" w:styleId="978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979">
    <w:name w:val="Table Grid"/>
    <w:basedOn w:val="978"/>
    <w:uiPriority w:val="59"/>
    <w:rPr>
      <w:lang w:eastAsia="en-US"/>
      <w:sz w:val="22"/>
      <w:szCs w:val="22"/>
    </w:rPr>
  </w:style>
  <w:style w:type="table" w:styleId="980">
    <w:name w:val="Plain Table 1"/>
    <w:uiPriority w:val="5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81">
    <w:name w:val="Plain Table 2"/>
    <w:uiPriority w:val="5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82">
    <w:name w:val="Plain Table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83">
    <w:name w:val="Plain Table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84">
    <w:name w:val="Plain Table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85">
    <w:name w:val="Grid Table 1 Light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86">
    <w:name w:val="Grid Table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87">
    <w:name w:val="Grid Table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88">
    <w:name w:val="Grid Table 4"/>
    <w:uiPriority w:val="5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89">
    <w:name w:val="Grid Table 5 Dark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90">
    <w:name w:val="Grid Table 6 Colorful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91">
    <w:name w:val="Grid Table 7 Colorful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92">
    <w:name w:val="List Table 1 Light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93">
    <w:name w:val="List Table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94">
    <w:name w:val="List Table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95">
    <w:name w:val="List Table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96">
    <w:name w:val="List Table 5 Dark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97">
    <w:name w:val="List Table 6 Colorful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98">
    <w:name w:val="List Table 7 Colorful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999">
    <w:name w:val="Табличка 0-19"/>
    <w:basedOn w:val="978"/>
    <w:rPr>
      <w:sz w:val="24"/>
    </w:rPr>
  </w:style>
  <w:style w:type="table" w:customStyle="1" w:styleId="1000">
    <w:name w:val="Table Grid Light"/>
    <w:uiPriority w:val="59"/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01">
    <w:name w:val="Grid Table 1 Light 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02">
    <w:name w:val="Grid Table 1 Light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03">
    <w:name w:val="Grid Table 1 Light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04">
    <w:name w:val="Grid Table 1 Light 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05">
    <w:name w:val="Grid Table 1 Light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06">
    <w:name w:val="Grid Table 1 Light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07">
    <w:name w:val="Grid Table 2 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08">
    <w:name w:val="Grid Table 2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09">
    <w:name w:val="Grid Table 2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10">
    <w:name w:val="Grid Table 2 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11">
    <w:name w:val="Grid Table 2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12">
    <w:name w:val="Grid Table 2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13">
    <w:name w:val="Grid Table 3 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14">
    <w:name w:val="Grid Table 3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15">
    <w:name w:val="Grid Table 3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16">
    <w:name w:val="Grid Table 3 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17">
    <w:name w:val="Grid Table 3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18">
    <w:name w:val="Grid Table 3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19">
    <w:name w:val="Grid Table 4 - Accent 1"/>
    <w:uiPriority w:val="59"/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20">
    <w:name w:val="Grid Table 4 - Accent 2"/>
    <w:uiPriority w:val="59"/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21">
    <w:name w:val="Grid Table 4 - Accent 3"/>
    <w:uiPriority w:val="59"/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22">
    <w:name w:val="Grid Table 4 - Accent 4"/>
    <w:uiPriority w:val="59"/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23">
    <w:name w:val="Grid Table 4 - Accent 5"/>
    <w:uiPriority w:val="59"/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24">
    <w:name w:val="Grid Table 4 - Accent 6"/>
    <w:uiPriority w:val="59"/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25">
    <w:name w:val="Grid Table 5 Dark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26">
    <w:name w:val="Grid Table 5 Dark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27">
    <w:name w:val="Grid Table 5 Dark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28">
    <w:name w:val="Grid Table 5 Dark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29">
    <w:name w:val="Grid Table 5 Dark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30">
    <w:name w:val="Grid Table 5 Dark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31">
    <w:name w:val="Grid Table 6 Colorful 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32">
    <w:name w:val="Grid Table 6 Colorful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33">
    <w:name w:val="Grid Table 6 Colorful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34">
    <w:name w:val="Grid Table 6 Colorful 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35">
    <w:name w:val="Grid Table 6 Colorful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36">
    <w:name w:val="Grid Table 6 Colorful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37">
    <w:name w:val="Grid Table 7 Colorful 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38">
    <w:name w:val="Grid Table 7 Colorful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39">
    <w:name w:val="Grid Table 7 Colorful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40">
    <w:name w:val="Grid Table 7 Colorful 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41">
    <w:name w:val="Grid Table 7 Colorful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42">
    <w:name w:val="Grid Table 7 Colorful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43">
    <w:name w:val="List Table 1 Light 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44">
    <w:name w:val="List Table 1 Light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45">
    <w:name w:val="List Table 1 Light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46">
    <w:name w:val="List Table 1 Light 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47">
    <w:name w:val="List Table 1 Light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48">
    <w:name w:val="List Table 1 Light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49">
    <w:name w:val="List Table 2 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50">
    <w:name w:val="List Table 2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51">
    <w:name w:val="List Table 2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52">
    <w:name w:val="List Table 2 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53">
    <w:name w:val="List Table 2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54">
    <w:name w:val="List Table 2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55">
    <w:name w:val="List Table 3 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56">
    <w:name w:val="List Table 3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57">
    <w:name w:val="List Table 3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58">
    <w:name w:val="List Table 3 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59">
    <w:name w:val="List Table 3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60">
    <w:name w:val="List Table 3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61">
    <w:name w:val="List Table 4 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62">
    <w:name w:val="List Table 4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63">
    <w:name w:val="List Table 4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64">
    <w:name w:val="List Table 4 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65">
    <w:name w:val="List Table 4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66">
    <w:name w:val="List Table 4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67">
    <w:name w:val="List Table 5 Dark 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68">
    <w:name w:val="List Table 5 Dark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69">
    <w:name w:val="List Table 5 Dark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70">
    <w:name w:val="List Table 5 Dark 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71">
    <w:name w:val="List Table 5 Dark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72">
    <w:name w:val="List Table 5 Dark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73">
    <w:name w:val="List Table 6 Colorful 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74">
    <w:name w:val="List Table 6 Colorful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75">
    <w:name w:val="List Table 6 Colorful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76">
    <w:name w:val="List Table 6 Colorful 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77">
    <w:name w:val="List Table 6 Colorful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78">
    <w:name w:val="List Table 6 Colorful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79">
    <w:name w:val="List Table 7 Colorful 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80">
    <w:name w:val="List Table 7 Colorful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81">
    <w:name w:val="List Table 7 Colorful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82">
    <w:name w:val="List Table 7 Colorful 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83">
    <w:name w:val="List Table 7 Colorful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84">
    <w:name w:val="List Table 7 Colorful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85">
    <w:name w:val="Lined - Accent"/>
    <w:uiPriority w:val="99"/>
    <w:rPr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86">
    <w:name w:val="Lined - Accent 1"/>
    <w:uiPriority w:val="99"/>
    <w:rPr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87">
    <w:name w:val="Lined - Accent 2"/>
    <w:uiPriority w:val="99"/>
    <w:rPr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88">
    <w:name w:val="Lined - Accent 3"/>
    <w:uiPriority w:val="99"/>
    <w:rPr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89">
    <w:name w:val="Lined - Accent 4"/>
    <w:uiPriority w:val="99"/>
    <w:rPr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90">
    <w:name w:val="Lined - Accent 5"/>
    <w:uiPriority w:val="99"/>
    <w:rPr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91">
    <w:name w:val="Lined - Accent 6"/>
    <w:uiPriority w:val="99"/>
    <w:rPr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92">
    <w:name w:val="Bordered &amp; Lined - Accent"/>
    <w:uiPriority w:val="99"/>
    <w:rPr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93">
    <w:name w:val="Bordered &amp; Lined - Accent 1"/>
    <w:uiPriority w:val="99"/>
    <w:rPr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94">
    <w:name w:val="Bordered &amp; Lined - Accent 2"/>
    <w:uiPriority w:val="99"/>
    <w:rPr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95">
    <w:name w:val="Bordered &amp; Lined - Accent 3"/>
    <w:uiPriority w:val="99"/>
    <w:rPr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96">
    <w:name w:val="Bordered &amp; Lined - Accent 4"/>
    <w:uiPriority w:val="99"/>
    <w:rPr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97">
    <w:name w:val="Bordered &amp; Lined - Accent 5"/>
    <w:uiPriority w:val="99"/>
    <w:rPr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98">
    <w:name w:val="Bordered &amp; Lined - Accent 6"/>
    <w:uiPriority w:val="99"/>
    <w:rPr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099">
    <w:name w:val="Bordered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100">
    <w:name w:val="Bordered 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101">
    <w:name w:val="Bordered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102">
    <w:name w:val="Bordered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103">
    <w:name w:val="Bordered 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104">
    <w:name w:val="Bordered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customStyle="1" w:styleId="1105">
    <w:name w:val="Bordered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login.consultant.ru/link/?req=doc&amp;base=RLAW368&amp;n=197628&amp;dst=131" TargetMode="External"/><Relationship Id="rId4" Type="http://schemas.openxmlformats.org/officeDocument/2006/relationships/hyperlink" Target="https://login.consultant.ru/link/?req=doc&amp;base=RLAW368&amp;n=197628&amp;dst=108" TargetMode="External"/><Relationship Id="rId5" Type="http://schemas.openxmlformats.org/officeDocument/2006/relationships/hyperlink" Target="https://login.consultant.ru/link/?req=doc&amp;base=RLAW368&amp;n=199045&amp;dst=143" TargetMode="Externa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Application>LibreOffice/24.8.4.1$Linux_X86_64 LibreOffice_project/480$Build-1</Application>
  <AppVersion>15.0000</AppVersion>
  <Pages>8</Pages>
  <Words>1469</Words>
  <Characters>10162</Characters>
  <CharactersWithSpaces>11580</CharactersWithSpaces>
  <Paragraphs>111</Paragraphs>
  <Company>Администрация г. Перми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2026-08-06T11:21:00Z</dcterms:created>
  <dc:creator>Сергей</dc:creator>
  <dc:description/>
  <dc:language>ru-RU</dc:language>
  <cp:lastModifiedBy/>
  <dcterms:modified xsi:type="dcterms:W3CDTF">2026-09-10T10:38:34Z</dcterms:modified>
  <cp:revision>16</cp:revision>
  <dc:subject/>
  <dc:title> </dc:title>
  <cp:version>1048576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