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_x005F_x0000_s205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205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g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2" name="_x005F_x0000_s20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Pr id="3" name=""/>
                        <wps:cNvSpPr/>
                        <wps:spPr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АДМИНИСТРАЦИЯ ГОРОДА ПЕРМИ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П О С Т А Н О В Л Е Н И Е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center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lIns="36360" rIns="36360" tIns="36360" bIns="36360" anchor="t">
                          <a:noAutofit/>
                        </wps:bodyPr>
                      </wps:wsp>
                      <wps:wsp>
                        <wps:cNvPr id="4" name=""/>
                        <wps:cNvSpPr/>
                        <wps:spPr>
                          <a:xfrm>
                            <a:off x="258480" y="547920"/>
                            <a:ext cx="1527840" cy="228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"/>
                        <wps:cNvSpPr/>
                        <wps:spPr>
                          <a:xfrm>
                            <a:off x="4948560" y="550440"/>
                            <a:ext cx="107748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_x005F_x0000_s2049" style="position:absolute;margin-left:0.6pt;margin-top:-4.1pt;width:494.95pt;height:61.3pt" coordorigin="12,-82" coordsize="9899,1226">
                <v:rect id="shape_0" path="m0,0l-2147483645,0l-2147483645,-2147483646l0,-2147483646xe" fillcolor="white" stroked="f" o:allowincell="f" style="position:absolute;left:12;top:-82;width:9898;height:1222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АДМИНИСТРАЦИЯ ГОРОДА ПЕРМИ</w:t>
                        </w:r>
                      </w:p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П О С Т А Н О В Л Е Н И Е</w:t>
                        </w:r>
                      </w:p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center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419;top:781;width:2405;height:359;mso-wrap-style:none;v-text-anchor:middle">
                  <v:fill o:detectmouseclick="t" on="false"/>
                  <v:stroke color="#3465a4" joinstyle="round" endcap="flat"/>
                  <w10:wrap type="none"/>
                </v:rect>
                <v:rect id="shape_0" path="m0,0l-2147483645,0l-2147483645,-2147483646l0,-2147483646xe" fillcolor="white" stroked="f" o:allowincell="f" style="position:absolute;left:7805;top:785;width:1696;height:359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</v:group>
            </w:pict>
          </mc:Fallback>
        </mc:AlternateContent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BodyText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both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</w:p>
    <w:p>
      <w:pPr>
        <w:pStyle w:val="Style23"/>
        <w:spacing w:lineRule="exact" w:line="240"/>
        <w:rPr>
          <w:b/>
          <w:bCs/>
        </w:rPr>
      </w:pPr>
      <w:r>
        <w:rPr>
          <w:b/>
          <w:bCs/>
        </w:rPr>
      </w:r>
      <w:bookmarkStart w:id="0" w:name="_Hlk345729"/>
      <w:bookmarkStart w:id="1" w:name="_Hlk345729"/>
      <w:bookmarkEnd w:id="1"/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Style23"/>
        <w:spacing w:lineRule="exact" w:line="240"/>
        <w:jc w:val="center"/>
        <w:rPr>
          <w:b/>
        </w:rPr>
      </w:pPr>
      <w:r>
        <w:rPr>
          <w:b/>
        </w:rPr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оказание муниципальной услуги «</w:t>
      </w:r>
      <w:r>
        <w:rPr>
          <w:b/>
          <w:bCs/>
          <w:sz w:val="28"/>
          <w:szCs w:val="28"/>
        </w:rPr>
        <w:t xml:space="preserve">«Показ (организация показа) спектаклей (театральных постановок)» (с учетом всех форм) и нормативных затрат на содержание муниципального имущества </w:t>
      </w:r>
      <w:r>
        <w:rPr>
          <w:b/>
          <w:sz w:val="28"/>
          <w:szCs w:val="28"/>
        </w:rPr>
        <w:t>утвержденную постановлением администрации города Перми от 0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6</w:t>
      </w:r>
    </w:p>
    <w:p>
      <w:pPr>
        <w:pStyle w:val="Normal"/>
        <w:spacing w:lineRule="exact" w:line="24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Style23"/>
        <w:spacing w:lineRule="exact" w:line="240"/>
        <w:rPr>
          <w:b/>
        </w:rPr>
      </w:pPr>
      <w:r>
        <w:rPr>
          <w:b/>
        </w:rPr>
      </w:r>
    </w:p>
    <w:p>
      <w:pPr>
        <w:pStyle w:val="Normal"/>
        <w:ind w:firstLine="720" w:right="0"/>
        <w:jc w:val="both"/>
        <w:rPr/>
      </w:pPr>
      <w:r>
        <w:rPr>
          <w:sz w:val="28"/>
        </w:rPr>
        <w:t xml:space="preserve">В соответствии </w:t>
      </w:r>
      <w:r>
        <w:rPr>
          <w:sz w:val="28"/>
          <w:szCs w:val="28"/>
        </w:rPr>
        <w:t>с Бюджетным кодексом Российской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актуализации нормативных правовых актов города Перми</w:t>
      </w:r>
    </w:p>
    <w:p>
      <w:pPr>
        <w:pStyle w:val="Normal"/>
        <w:jc w:val="both"/>
        <w:rPr/>
      </w:pPr>
      <w:r>
        <w:rPr>
          <w:sz w:val="28"/>
        </w:rPr>
        <w:t>администрация города Перми ПОСТАНОВЛЯЕТ:</w:t>
      </w:r>
    </w:p>
    <w:p>
      <w:pPr>
        <w:pStyle w:val="Normal"/>
        <w:ind w:firstLine="720" w:right="0"/>
        <w:jc w:val="both"/>
        <w:rPr/>
      </w:pPr>
      <w:bookmarkStart w:id="2" w:name="_Hlk501457340"/>
      <w:bookmarkEnd w:id="2"/>
      <w:r>
        <w:rPr>
          <w:sz w:val="28"/>
        </w:rPr>
        <w:t xml:space="preserve">1. </w:t>
      </w:r>
      <w:bookmarkStart w:id="3" w:name="_Hlk2329985"/>
      <w:r>
        <w:rPr>
          <w:sz w:val="28"/>
          <w:szCs w:val="28"/>
        </w:rPr>
        <w:t xml:space="preserve">Внести в </w:t>
      </w:r>
      <w:r>
        <w:rPr>
          <w:sz w:val="28"/>
        </w:rPr>
        <w:t xml:space="preserve">Методику расчета нормативных затрат на оказание муниципальной услуги </w:t>
      </w:r>
      <w:r>
        <w:rPr>
          <w:sz w:val="28"/>
          <w:szCs w:val="28"/>
        </w:rPr>
        <w:t>«Показ (организация показа) спектаклей (театральных постановок)» (с учетом всех форм) и нормативных затрат на содержание муниципального имущества, уплату налогов</w:t>
      </w:r>
      <w:r>
        <w:rPr>
          <w:sz w:val="28"/>
        </w:rPr>
        <w:t>, утвержденную постановлением администрации города Перми от 09 августа 2024 г. № 636</w:t>
      </w:r>
      <w:r>
        <w:rPr>
          <w:sz w:val="28"/>
          <w:szCs w:val="28"/>
        </w:rPr>
        <w:t xml:space="preserve"> (в ред. </w:t>
      </w:r>
      <w:r>
        <w:rPr>
          <w:sz w:val="28"/>
        </w:rPr>
        <w:t>от 16.09.2024 № 771, от 29.09.2025   № 686</w:t>
      </w:r>
      <w:r>
        <w:rPr>
          <w:sz w:val="28"/>
          <w:szCs w:val="28"/>
        </w:rPr>
        <w:t xml:space="preserve">), </w:t>
      </w:r>
      <w:bookmarkStart w:id="4" w:name="_Hlk45095863"/>
      <w:bookmarkEnd w:id="3"/>
      <w:r>
        <w:rPr>
          <w:sz w:val="28"/>
        </w:rPr>
        <w:t>следующие изменения:</w:t>
      </w:r>
      <w:bookmarkEnd w:id="4"/>
    </w:p>
    <w:p>
      <w:pPr>
        <w:pStyle w:val="Normal"/>
        <w:autoSpaceDE w:val="false"/>
        <w:ind w:firstLine="709" w:right="0"/>
        <w:jc w:val="both"/>
        <w:rPr/>
      </w:pPr>
      <w:bookmarkStart w:id="5" w:name="_Hlk501457340"/>
      <w:bookmarkEnd w:id="5"/>
      <w:r>
        <w:rPr>
          <w:sz w:val="28"/>
        </w:rPr>
        <w:t xml:space="preserve">1.1. в пункте 4.1: 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</w:rPr>
        <w:t>1.1.1. в абзаце первом слова «01 апреля 2024» заменить словами «01 января 2026»;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</w:rPr>
        <w:t xml:space="preserve">1.1.2. абзац второй </w:t>
      </w:r>
      <w:bookmarkStart w:id="6" w:name="_Hlk174352493"/>
      <w:r>
        <w:rPr>
          <w:sz w:val="28"/>
        </w:rPr>
        <w:t>признать утратившим силу;</w:t>
      </w:r>
    </w:p>
    <w:p>
      <w:pPr>
        <w:pStyle w:val="Normal"/>
        <w:autoSpaceDE w:val="false"/>
        <w:ind w:firstLine="709" w:right="0"/>
        <w:jc w:val="both"/>
        <w:rPr/>
      </w:pPr>
      <w:bookmarkEnd w:id="6"/>
      <w:r>
        <w:rPr>
          <w:sz w:val="28"/>
        </w:rPr>
        <w:t>1.2. в пункте 4.5: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1.2.1. </w:t>
      </w:r>
      <w:r>
        <w:rPr>
          <w:sz w:val="28"/>
        </w:rPr>
        <w:t>в абзаце девятом цифры «2023» заменить</w:t>
      </w:r>
      <w:r>
        <w:rPr>
          <w:sz w:val="28"/>
          <w:shd w:fill="auto" w:val="clear"/>
        </w:rPr>
        <w:t xml:space="preserve">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1.2.2. в абзаце двенадцатом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1.2.3. в абзаце пятнадцатом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09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1.3. в пункте 4.7: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1.3.1. </w:t>
      </w:r>
      <w:r>
        <w:rPr>
          <w:sz w:val="28"/>
          <w:shd w:fill="auto" w:val="clear"/>
        </w:rPr>
        <w:t>в абзаце десятом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1.3.2. в абзаце тринадцатом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1.3.3. в абзаце шестнадцатом цифры «2023» заменить цифрами «202</w:t>
      </w:r>
      <w:r>
        <w:rPr>
          <w:sz w:val="28"/>
          <w:shd w:fill="auto" w:val="clear"/>
        </w:rPr>
        <w:t>5</w:t>
      </w:r>
      <w:r>
        <w:rPr>
          <w:sz w:val="28"/>
          <w:shd w:fill="auto" w:val="clear"/>
        </w:rPr>
        <w:t>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1.3.4. </w:t>
      </w:r>
      <w:bookmarkStart w:id="7" w:name="_Hlk194506687"/>
      <w:r>
        <w:rPr>
          <w:sz w:val="28"/>
        </w:rPr>
        <w:t>абзац двадцать второй изложить в следующей редакции:</w:t>
      </w:r>
      <w:bookmarkEnd w:id="7"/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значение натуральной нормы потребления услуг по вывозу твердых коммунальных отходов, рассчитанное как отношение количества единиц выполненных услуг по вывозу твердых коммунальных отходов к среднему количеству публичных выступлений;»;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1.4. абзац одиннадцатый пункта 4.9 признать утратившим силу;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1.5. в пункте 4.10: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1.5.1. абзац восьмой изложить в следующей редакции: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«техническое обслуживание систем оповещения;»;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1.5.2. дополнить абзацем следующего содержания: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«техническое обслуживание оргтехники.»;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1.6. пункт 4.13 изложить в следующей редакции: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«4.13. Затраты на прочие общехозяйственные нужды (N</w:t>
      </w:r>
      <w:r>
        <w:rPr>
          <w:sz w:val="28"/>
          <w:szCs w:val="28"/>
          <w:vertAlign w:val="superscript"/>
        </w:rPr>
        <w:t>ПОН</w:t>
      </w:r>
      <w:r>
        <w:rPr>
          <w:sz w:val="28"/>
          <w:szCs w:val="28"/>
        </w:rPr>
        <w:t xml:space="preserve">) определяются согласно пункту 1.3 настоящей Методики и рассчитываются по следующей формуле: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ПОН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, где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 – затраты на приобретение прочих работ (услуг); 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– затраты на увеличение стоимости материальных запасов. 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 xml:space="preserve">Стоимость прочих работ (услуг) и материальных запасов определяется </w:t>
        <w:br/>
        <w:t xml:space="preserve">в соответствии с положениями пункта 4.1 настоящей Методики. 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В составе затрат на приобретение прочих работ (услуг) (N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) учитываются следующие работы (услуги): 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физическая охрана;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проведение предрейсового и послерейсового медицинского осмотра водителей;</w:t>
      </w:r>
    </w:p>
    <w:p>
      <w:pPr>
        <w:pStyle w:val="Normal"/>
        <w:autoSpaceDE w:val="false"/>
        <w:ind w:firstLine="720" w:right="0"/>
        <w:rPr/>
      </w:pPr>
      <w:r>
        <w:rPr>
          <w:sz w:val="28"/>
        </w:rPr>
        <w:t>п</w:t>
      </w:r>
      <w:r>
        <w:rPr>
          <w:sz w:val="28"/>
          <w:szCs w:val="28"/>
        </w:rPr>
        <w:t>редоставление услуг доступа к справочно-правовым системам «Гарант»;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размещение рекламно-информационных материалов;</w:t>
        <w:tab/>
        <w:tab/>
        <w:tab/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</w:rPr>
        <w:t>создание пьес.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Затраты на приобретение прочих работ (услуг) (N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) рассчитываются </w:t>
        <w:br/>
        <w:t xml:space="preserve">по следующей формуле: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 xml:space="preserve">пр </w:t>
      </w:r>
      <w:r>
        <w:rPr>
          <w:sz w:val="28"/>
          <w:szCs w:val="28"/>
        </w:rPr>
        <w:t>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 xml:space="preserve">, где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– значение натуральной нормы потребления на приобретение прочих работ (услуг), рассчитанное как отношение количества единиц работ (услуг) на приобретение прочих работ (услуг) </w:t>
      </w:r>
      <w:bookmarkStart w:id="8" w:name="_Hlk148602699"/>
      <w:r>
        <w:rPr>
          <w:sz w:val="28"/>
          <w:szCs w:val="28"/>
        </w:rPr>
        <w:t xml:space="preserve">к среднему количеству публичных выступлений; </w:t>
      </w:r>
      <w:bookmarkEnd w:id="8"/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</w:t>
      </w:r>
      <w:bookmarkStart w:id="9" w:name="_Hlk148518096"/>
      <w:r>
        <w:rPr>
          <w:sz w:val="28"/>
          <w:szCs w:val="28"/>
        </w:rPr>
        <w:t xml:space="preserve">– цена (тариф) конкретного вида прочих работ (услуг), руб. </w:t>
      </w:r>
    </w:p>
    <w:p>
      <w:pPr>
        <w:pStyle w:val="Normal"/>
        <w:ind w:firstLine="720" w:right="0"/>
        <w:jc w:val="both"/>
        <w:rPr/>
      </w:pPr>
      <w:bookmarkEnd w:id="9"/>
      <w:r>
        <w:rPr>
          <w:sz w:val="28"/>
          <w:szCs w:val="28"/>
        </w:rPr>
        <w:t>Затраты на увеличение стоимости материальных запасов (N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), рассчитываются по следующей формуле: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+ </w:t>
      </w: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sz w:val="28"/>
          <w:szCs w:val="28"/>
        </w:rPr>
        <w:t xml:space="preserve">, где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– затраты на приобретение горюче-смазочных материалов; </w:t>
      </w:r>
    </w:p>
    <w:p>
      <w:pPr>
        <w:pStyle w:val="Normal"/>
        <w:widowControl w:val="false"/>
        <w:autoSpaceDE w:val="false"/>
        <w:ind w:firstLine="72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- затраты на приобретение канцелярских и хозяйственных товаров.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Затраты на приобретение горюче-смазочных материалов (N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) рассчитываются по следующей формуле: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 xml:space="preserve">, где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– значение натуральной нормы по затратам на приобретение горюче-смазочных материалов, рассчитанное как отношение количества единиц приобретаемого вида горюче-смазочных материалов к среднему количеству публичных выступлений; </w:t>
      </w:r>
    </w:p>
    <w:p>
      <w:pPr>
        <w:pStyle w:val="Normal"/>
        <w:ind w:left="720" w:right="0"/>
        <w:jc w:val="both"/>
        <w:rPr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гсм</w:t>
      </w:r>
      <w:r>
        <w:rPr>
          <w:sz w:val="28"/>
          <w:szCs w:val="28"/>
        </w:rPr>
        <w:t xml:space="preserve"> – стоимость приобретаемого вида горюче-смазочных материалов, руб. 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составе затрат на приобретение горюче-смазочных материалов учитываются расходы на приобретение бензина АИ-92. </w:t>
      </w:r>
    </w:p>
    <w:p>
      <w:pPr>
        <w:pStyle w:val="Normal"/>
        <w:widowControl w:val="false"/>
        <w:autoSpaceDE w:val="false"/>
        <w:ind w:firstLine="540" w:right="0"/>
        <w:jc w:val="both"/>
        <w:rPr/>
      </w:pPr>
      <w:r>
        <w:rPr>
          <w:kern w:val="2"/>
          <w:sz w:val="28"/>
          <w:szCs w:val="28"/>
        </w:rPr>
        <w:t>Затраты на приобретение канцелярских и хозяйственных товаров (N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>) рассчитываются по следующей формуле:</w:t>
      </w:r>
    </w:p>
    <w:p>
      <w:pPr>
        <w:pStyle w:val="Normal"/>
        <w:widowControl w:val="false"/>
        <w:autoSpaceDE w:val="false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мз канц Ххоз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>, где</w:t>
      </w:r>
    </w:p>
    <w:p>
      <w:pPr>
        <w:pStyle w:val="Normal"/>
        <w:widowControl w:val="false"/>
        <w:autoSpaceDE w:val="false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ind w:firstLine="720" w:right="0"/>
        <w:jc w:val="both"/>
        <w:rPr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- значение натуральной нормы по затратам на приобретение канцелярских и хозяйственных товаров, рассчитанное как отношение количества единиц обеспеченности канцелярскими и хозяйственными товарами </w:t>
      </w:r>
      <w:r>
        <w:rPr>
          <w:sz w:val="28"/>
          <w:szCs w:val="28"/>
        </w:rPr>
        <w:t xml:space="preserve">к среднему количеству публичных выступлений; </w:t>
      </w:r>
    </w:p>
    <w:p>
      <w:pPr>
        <w:pStyle w:val="Normal"/>
        <w:widowControl w:val="false"/>
        <w:autoSpaceDE w:val="false"/>
        <w:ind w:firstLine="720" w:right="0"/>
        <w:jc w:val="both"/>
        <w:rPr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- стоимость приобретаемого вида материального запаса, руб.</w:t>
      </w:r>
    </w:p>
    <w:p>
      <w:pPr>
        <w:pStyle w:val="Normal"/>
        <w:widowControl w:val="false"/>
        <w:autoSpaceDE w:val="false"/>
        <w:ind w:firstLine="720" w:right="0"/>
        <w:jc w:val="both"/>
        <w:rPr/>
      </w:pPr>
      <w:r>
        <w:rPr>
          <w:sz w:val="28"/>
          <w:szCs w:val="28"/>
        </w:rPr>
        <w:t xml:space="preserve">В составе затрат на приобретение </w:t>
      </w:r>
      <w:r>
        <w:rPr>
          <w:kern w:val="2"/>
          <w:sz w:val="28"/>
          <w:szCs w:val="28"/>
        </w:rPr>
        <w:t xml:space="preserve">канцелярских и хозяйственных товаров </w:t>
      </w:r>
      <w:r>
        <w:rPr>
          <w:sz w:val="28"/>
          <w:szCs w:val="28"/>
        </w:rPr>
        <w:t>учитываются расходы на приобретение бумаги для офисной техники, батареек, бумаги цветной, ежедневников, клей-карандашей, клейкой ленты, корректирующей ленты,</w:t>
        <w:tab/>
        <w:t>ножей канцелярских, ножниц, ручек шариковых, флеш-памяти, бумаги туалетной, мешков для мусора, мыла жидкого, мыла туалетного.».</w:t>
        <w:tab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обнародования посредством официального опубликования </w:t>
        <w:br/>
        <w:t>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при расчете объема финансового обеспечения выполнения муниципального задания, начиная с муниципального задания на 2027 год и плановый период 2028 и 2029 годов.</w:t>
      </w:r>
      <w:bookmarkStart w:id="10" w:name="_Hlk194053660"/>
      <w:bookmarkStart w:id="11" w:name="_Hlk76131702"/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>
      <w:pPr>
        <w:pStyle w:val="Normal"/>
        <w:ind w:firstLine="720"/>
        <w:jc w:val="both"/>
        <w:rPr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gorodperm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».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 заместителя главы администрации города Перми Ершову О.С.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bookmarkEnd w:id="11"/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  <w:tab/>
        <w:t>Э.О. Соснин</w:t>
      </w:r>
      <w:bookmarkEnd w:id="10"/>
    </w:p>
    <w:p>
      <w:pPr>
        <w:pStyle w:val="Normal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right" w:pos="9921" w:leader="none"/>
        </w:tabs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567" w:gutter="0" w:header="363" w:top="1134" w:footer="709" w:bottom="1134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Courier New">
    <w:charset w:val="01"/>
    <w:family w:val="auto"/>
    <w:pitch w:val="variable"/>
  </w:font>
  <w:font w:name="Open Sans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</w:rPr>
    </w:pPr>
    <w:r>
      <w:rPr>
        <w:sz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3"/>
  <w:defaultTabStop w:val="720"/>
  <w:autoHyphenation w:val="true"/>
  <w:hyphenationZone w:val="36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Zen Hei Sharp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ind w:firstLine="709" w:right="-1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2"/>
    <w:qFormat/>
    <w:pPr>
      <w:keepNext w:val="true"/>
      <w:ind w:right="-1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7" w:customStyle="1">
    <w:name w:val="Текст выноски Знак"/>
    <w:link w:val="BalloonText"/>
    <w:qFormat/>
    <w:rPr>
      <w:rFonts w:ascii="Segoe UI" w:hAnsi="Segoe UI" w:cs="Segoe UI"/>
      <w:sz w:val="18"/>
      <w:szCs w:val="18"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llowedHyperlink">
    <w:name w:val="FollowedHyperlink"/>
    <w:uiPriority w:val="99"/>
    <w:unhideWhenUsed/>
    <w:rPr>
      <w:color w:val="800080"/>
      <w:u w:val="single"/>
    </w:rPr>
  </w:style>
  <w:style w:type="character" w:styleId="Style9" w:customStyle="1">
    <w:name w:val="Основной текст Знак"/>
    <w:qFormat/>
    <w:rPr>
      <w:rFonts w:ascii="Courier New" w:hAnsi="Courier New"/>
      <w:sz w:val="26"/>
    </w:rPr>
  </w:style>
  <w:style w:type="character" w:styleId="Style10" w:customStyle="1">
    <w:name w:val="Нижний колонтитул Знак"/>
    <w:qFormat/>
    <w:rPr/>
  </w:style>
  <w:style w:type="character" w:styleId="Style11" w:customStyle="1">
    <w:name w:val="Подпись Знак"/>
    <w:qFormat/>
    <w:rPr>
      <w:sz w:val="2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12" w:customStyle="1">
    <w:name w:val="Текст примечания Знак"/>
    <w:basedOn w:val="DefaultParagraphFont"/>
    <w:qFormat/>
    <w:rPr/>
  </w:style>
  <w:style w:type="character" w:styleId="Style13" w:customStyle="1">
    <w:name w:val="Тема примечания Знак"/>
    <w:link w:val="annotationsubject"/>
    <w:qFormat/>
    <w:rPr>
      <w:b/>
      <w:bCs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" w:customStyle="1">
    <w:name w:val="Заголовок 1 Знак"/>
    <w:qFormat/>
    <w:rPr>
      <w:sz w:val="24"/>
    </w:rPr>
  </w:style>
  <w:style w:type="character" w:styleId="2" w:customStyle="1">
    <w:name w:val="Заголовок 2 Знак"/>
    <w:qFormat/>
    <w:rPr>
      <w:sz w:val="24"/>
    </w:rPr>
  </w:style>
  <w:style w:type="character" w:styleId="Style14" w:customStyle="1">
    <w:name w:val="Заголовок Знак"/>
    <w:uiPriority w:val="10"/>
    <w:qFormat/>
    <w:rPr>
      <w:sz w:val="48"/>
      <w:szCs w:val="48"/>
    </w:rPr>
  </w:style>
  <w:style w:type="character" w:styleId="Style1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16" w:customStyle="1">
    <w:name w:val="Выделенная цитата Знак"/>
    <w:link w:val="IntenseQuote"/>
    <w:uiPriority w:val="30"/>
    <w:qFormat/>
    <w:rPr>
      <w:i/>
      <w:shd w:fill="F2F2F2" w:val="clear"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17" w:customStyle="1">
    <w:name w:val="Название объекта Знак"/>
    <w:uiPriority w:val="99"/>
    <w:qFormat/>
    <w:rPr/>
  </w:style>
  <w:style w:type="character" w:styleId="Style18" w:customStyle="1">
    <w:name w:val="Текст сноски Знак"/>
    <w:uiPriority w:val="99"/>
    <w:qFormat/>
    <w:rPr>
      <w:sz w:val="18"/>
    </w:rPr>
  </w:style>
  <w:style w:type="character" w:styleId="Style19" w:customStyle="1">
    <w:name w:val="Текст концевой сноски Знак"/>
    <w:basedOn w:val="DefaultParagraphFont"/>
    <w:uiPriority w:val="99"/>
    <w:qFormat/>
    <w:rPr/>
  </w:style>
  <w:style w:type="character" w:styleId="Style20" w:customStyle="1">
    <w:name w:val="Основной текст с отступом Знак"/>
    <w:qFormat/>
    <w:rPr>
      <w:sz w:val="26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Zen Hei Sharp" w:cs="Droid Sans"/>
      <w:sz w:val="28"/>
      <w:szCs w:val="28"/>
    </w:rPr>
  </w:style>
  <w:style w:type="paragraph" w:styleId="BodyText">
    <w:name w:val="Body Text"/>
    <w:basedOn w:val="Normal"/>
    <w:link w:val="Style9"/>
    <w:pPr>
      <w:ind w:right="3117"/>
    </w:pPr>
    <w:rPr>
      <w:rFonts w:ascii="Courier New" w:hAnsi="Courier New"/>
      <w:sz w:val="26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next w:val="Normal"/>
    <w:link w:val="Style17"/>
    <w:qFormat/>
    <w:pPr>
      <w:widowControl w:val="false"/>
      <w:spacing w:lineRule="exact" w:line="360"/>
      <w:jc w:val="center"/>
    </w:pPr>
    <w:rPr>
      <w:b/>
      <w:sz w:val="32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BodyText"/>
    <w:link w:val="Style1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next w:val="Normal"/>
    <w:link w:val="Style1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link w:val="Style18"/>
    <w:uiPriority w:val="99"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9"/>
    <w:uiPriority w:val="99"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odyTextIndent">
    <w:name w:val="Body Text Indent"/>
    <w:basedOn w:val="Normal"/>
    <w:link w:val="Style20"/>
    <w:pPr>
      <w:ind w:right="-1"/>
      <w:jc w:val="both"/>
    </w:pPr>
    <w:rPr>
      <w:sz w:val="26"/>
    </w:rPr>
  </w:style>
  <w:style w:type="paragraph" w:styleId="BalloonText">
    <w:name w:val="Balloon Text"/>
    <w:basedOn w:val="Normal"/>
    <w:link w:val="Style7"/>
    <w:qFormat/>
    <w:pPr/>
    <w:rPr>
      <w:rFonts w:ascii="Segoe UI" w:hAnsi="Segoe UI" w:cs="Segoe UI"/>
      <w:sz w:val="18"/>
      <w:szCs w:val="18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67" w:customStyle="1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68" w:customStyle="1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xl79" w:customStyle="1">
    <w:name w:val="xl7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styleId="Style23" w:customStyle="1">
    <w:name w:val="Форм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font5" w:customStyle="1">
    <w:name w:val="font5"/>
    <w:basedOn w:val="Normal"/>
    <w:qFormat/>
    <w:pPr>
      <w:spacing w:beforeAutospacing="1" w:afterAutospacing="1"/>
    </w:pPr>
    <w:rPr>
      <w:color w:val="000000"/>
      <w:sz w:val="28"/>
      <w:szCs w:val="28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4" w:customStyle="1">
    <w:name w:val="xl9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1" w:customStyle="1">
    <w:name w:val="xl10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5" w:customStyle="1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2" w:customStyle="1">
    <w:name w:val="xl112"/>
    <w:basedOn w:val="Normal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styleId="xl117" w:customStyle="1">
    <w:name w:val="xl11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2" w:customStyle="1">
    <w:name w:val="xl12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23" w:customStyle="1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4" w:customStyle="1">
    <w:name w:val="xl124"/>
    <w:basedOn w:val="Normal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25" w:customStyle="1">
    <w:name w:val="xl125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font6" w:customStyle="1">
    <w:name w:val="font6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7" w:customStyle="1">
    <w:name w:val="font7"/>
    <w:basedOn w:val="Normal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font8" w:customStyle="1">
    <w:name w:val="font8"/>
    <w:basedOn w:val="Normal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11" w:customStyle="1">
    <w:name w:val="Прощание1"/>
    <w:basedOn w:val="BodyText"/>
    <w:qFormat/>
    <w:pPr>
      <w:tabs>
        <w:tab w:val="clear" w:pos="720"/>
        <w:tab w:val="left" w:pos="1673" w:leader="none"/>
      </w:tabs>
      <w:spacing w:lineRule="exact" w:line="240" w:before="240" w:after="0"/>
      <w:ind w:hanging="1985" w:left="1985" w:right="0"/>
      <w:jc w:val="both"/>
    </w:pPr>
    <w:rPr>
      <w:rFonts w:ascii="Times New Roman" w:hAnsi="Times New Roman"/>
      <w:sz w:val="28"/>
    </w:rPr>
  </w:style>
  <w:style w:type="paragraph" w:styleId="Style24" w:customStyle="1">
    <w:name w:val="Подпись на  бланке должностного лица"/>
    <w:basedOn w:val="Normal"/>
    <w:next w:val="BodyText"/>
    <w:qFormat/>
    <w:pPr>
      <w:spacing w:lineRule="exact" w:line="240" w:before="480" w:after="0"/>
      <w:ind w:left="7088"/>
    </w:pPr>
    <w:rPr>
      <w:sz w:val="28"/>
    </w:rPr>
  </w:style>
  <w:style w:type="paragraph" w:styleId="Signature">
    <w:name w:val="Signature"/>
    <w:basedOn w:val="Normal"/>
    <w:next w:val="BodyText"/>
    <w:link w:val="Style11"/>
    <w:pPr>
      <w:tabs>
        <w:tab w:val="clear" w:pos="720"/>
        <w:tab w:val="left" w:pos="5103" w:leader="none"/>
        <w:tab w:val="right" w:pos="9639" w:leader="none"/>
      </w:tabs>
      <w:spacing w:lineRule="exact" w:line="240" w:before="480" w:after="0"/>
    </w:pPr>
    <w:rPr>
      <w:sz w:val="28"/>
    </w:rPr>
  </w:style>
  <w:style w:type="paragraph" w:styleId="CommentText">
    <w:name w:val="annotation text"/>
    <w:basedOn w:val="Normal"/>
    <w:link w:val="Style12"/>
    <w:pPr>
      <w:ind w:firstLine="720"/>
      <w:jc w:val="both"/>
    </w:pPr>
    <w:rPr/>
  </w:style>
  <w:style w:type="paragraph" w:styleId="annotationsubject">
    <w:name w:val="annotation subject"/>
    <w:basedOn w:val="CommentText"/>
    <w:next w:val="CommentText"/>
    <w:link w:val="Style13"/>
    <w:qFormat/>
    <w:pPr/>
    <w:rPr>
      <w:b/>
      <w:bCs/>
    </w:rPr>
  </w:style>
  <w:style w:type="paragraph" w:styleId="consplustitle" w:customStyle="1">
    <w:name w:val="consplustitle"/>
    <w:basedOn w:val="Normal"/>
    <w:qFormat/>
    <w:pPr>
      <w:spacing w:beforeAutospacing="1" w:afterAutospacing="1"/>
    </w:pPr>
    <w:rPr>
      <w:sz w:val="24"/>
      <w:szCs w:val="24"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Верхний колонтитул слева"/>
    <w:basedOn w:val="Header"/>
    <w:qFormat/>
    <w:pPr/>
    <w:rPr/>
  </w:style>
  <w:style w:type="paragraph" w:styleId="Style2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numbering" w:styleId="Style29" w:customStyle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</w:style>
  <w:style w:type="numbering" w:styleId="111" w:customStyle="1">
    <w:name w:val="Нет списка11"/>
    <w:uiPriority w:val="99"/>
    <w:semiHidden/>
    <w:unhideWhenUsed/>
    <w:qFormat/>
  </w:style>
  <w:style w:type="numbering" w:styleId="1111" w:customStyle="1">
    <w:name w:val="Нет списка111"/>
    <w:uiPriority w:val="99"/>
    <w:semiHidden/>
    <w:unhideWhenUsed/>
    <w:qFormat/>
  </w:style>
  <w:style w:type="numbering" w:styleId="22" w:customStyle="1">
    <w:name w:val="Нет списка2"/>
    <w:uiPriority w:val="99"/>
    <w:semiHidden/>
    <w:unhideWhenUsed/>
    <w:qFormat/>
  </w:style>
  <w:style w:type="numbering" w:styleId="31" w:customStyle="1">
    <w:name w:val="Нет списка3"/>
    <w:uiPriority w:val="99"/>
    <w:semiHidden/>
    <w:unhideWhenUsed/>
    <w:qFormat/>
  </w:style>
  <w:style w:type="numbering" w:styleId="41" w:customStyle="1">
    <w:name w:val="Нет списка4"/>
    <w:uiPriority w:val="99"/>
    <w:semiHidden/>
    <w:unhideWhenUsed/>
    <w:qFormat/>
  </w:style>
  <w:style w:type="numbering" w:styleId="51" w:customStyle="1">
    <w:name w:val="Нет списка5"/>
    <w:semiHidden/>
    <w:qFormat/>
  </w:style>
  <w:style w:type="numbering" w:styleId="61" w:customStyle="1">
    <w:name w:val="Нет списка6"/>
    <w:semiHidden/>
    <w:unhideWhenUsed/>
    <w:qFormat/>
  </w:style>
  <w:style w:type="numbering" w:styleId="121" w:customStyle="1">
    <w:name w:val="Нет списка12"/>
    <w:semiHidden/>
    <w:qFormat/>
  </w:style>
  <w:style w:type="numbering" w:styleId="71" w:customStyle="1">
    <w:name w:val="Нет списка7"/>
    <w:semiHidden/>
    <w:qFormat/>
  </w:style>
  <w:style w:type="numbering" w:styleId="13" w:customStyle="1">
    <w:name w:val="Нет списка13"/>
    <w:semiHidden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4">
    <w:name w:val="Table Grid"/>
    <w:basedOn w:val="a1"/>
    <w:uiPriority w:val="59"/>
    <w:rPr>
      <w:lang w:eastAsia="en-US"/>
      <w:sz w:val="22"/>
      <w:szCs w:val="22"/>
    </w:rPr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LibreOffice/24.8.4.1$Linux_X86_64 LibreOffice_project/480$Build-1</Application>
  <AppVersion>15.0000</AppVersion>
  <Pages>4</Pages>
  <Words>782</Words>
  <Characters>5467</Characters>
  <CharactersWithSpaces>6223</CharactersWithSpaces>
  <Paragraphs>63</Paragraphs>
  <Company>Администрация г. Перми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2026-08-06T11:21:00Z</dcterms:created>
  <dc:creator>Сергей</dc:creator>
  <dc:description/>
  <dc:language>ru-RU</dc:language>
  <cp:lastModifiedBy/>
  <dcterms:modified xsi:type="dcterms:W3CDTF">2026-09-10T17:23:38Z</dcterms:modified>
  <cp:revision>23</cp:revision>
  <dc:subject/>
  <dc:title> 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