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2950845</wp:posOffset>
            </wp:positionH>
            <wp:positionV relativeFrom="paragraph">
              <wp:posOffset>-547370</wp:posOffset>
            </wp:positionV>
            <wp:extent cx="407035" cy="495300"/>
            <wp:effectExtent l="0" t="0" r="0" b="0"/>
            <wp:wrapNone/>
            <wp:docPr id="1" name="_x005F_x0000_s205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5F_x0000_s2050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g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column">
                  <wp:posOffset>7620</wp:posOffset>
                </wp:positionH>
                <wp:positionV relativeFrom="paragraph">
                  <wp:posOffset>-52070</wp:posOffset>
                </wp:positionV>
                <wp:extent cx="6285865" cy="779145"/>
                <wp:effectExtent l="0" t="0" r="0" b="0"/>
                <wp:wrapNone/>
                <wp:docPr id="2" name="_x005F_x0000_s204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5960" cy="779040"/>
                          <a:chOff x="0" y="0"/>
                          <a:chExt cx="6285960" cy="779040"/>
                        </a:xfrm>
                      </wpg:grpSpPr>
                      <wps:wsp>
                        <wps:cNvSpPr txBox="1"/>
                        <wps:spPr>
                          <a:xfrm>
                            <a:off x="0" y="0"/>
                            <a:ext cx="6285960" cy="776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overflowPunct w:val="false"/>
                                <w:jc w:val="center"/>
                                <w:rPr/>
                              </w:pPr>
                              <w:r>
                                <w:rPr>
                                  <w:b/>
                                  <w:sz w:val="28"/>
                                  <w:rFonts w:ascii="Times New Roman" w:hAnsi="Times New Roman" w:eastAsia="WenQuanYi Zen Hei Sharp" w:cs="Droid Sans"/>
                                  <w:lang w:eastAsia="zh-CN"/>
                                </w:rPr>
                                <w:t>АДМИНИСТРАЦИЯ ГОРОДА ПЕРМИ</w:t>
                              </w:r>
                            </w:p>
                            <w:p>
                              <w:pPr>
                                <w:overflowPunct w:val="false"/>
                                <w:jc w:val="center"/>
                                <w:rPr/>
                              </w:pPr>
                              <w:r>
                                <w:rPr>
                                  <w:b/>
                                  <w:sz w:val="28"/>
                                  <w:rFonts w:ascii="Times New Roman" w:hAnsi="Times New Roman" w:eastAsia="WenQuanYi Zen Hei Sharp" w:cs="Droid Sans"/>
                                  <w:lang w:eastAsia="zh-CN"/>
                                </w:rPr>
                                <w:t>П О С Т А Н О В Л Е Н И Е</w:t>
                              </w:r>
                            </w:p>
                            <w:p>
                              <w:pPr>
                                <w:overflowPunct w:val="false"/>
                                <w:jc w:val="center"/>
                                <w:rPr/>
                              </w:pPr>
                              <w:r>
                                <w:rPr>
                                  <w:sz w:val="32"/>
                                  <w:b/>
                                  <w:rFonts w:ascii="Times New Roman" w:hAnsi="Times New Roman" w:eastAsia="WenQuanYi Zen Hei Sharp" w:cs="Droid Sans"/>
                                  <w:lang w:eastAsia="zh-CN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jc w:val="center"/>
                                <w:rPr/>
                              </w:pPr>
                              <w:r>
                                <w:rPr>
                                  <w:sz w:val="32"/>
                                  <w:b/>
                                  <w:rFonts w:ascii="Times New Roman" w:hAnsi="Times New Roman" w:eastAsia="WenQuanYi Zen Hei Sharp" w:cs="Droid Sans"/>
                                  <w:lang w:eastAsia="zh-CN"/>
                                </w:rPr>
                              </w:r>
                            </w:p>
                          </w:txbxContent>
                        </wps:txbx>
                        <wps:bodyPr wrap="square" lIns="36360" rIns="36360" tIns="36360" bIns="36360" anchor="t">
                          <a:noAutofit/>
                        </wps:bodyPr>
                      </wps:wsp>
                      <wps:wsp>
                        <wps:cNvSpPr txBox="1"/>
                        <wps:spPr>
                          <a:xfrm>
                            <a:off x="258480" y="547200"/>
                            <a:ext cx="1528560" cy="2293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SpPr txBox="1"/>
                        <wps:spPr>
                          <a:xfrm>
                            <a:off x="4947840" y="550080"/>
                            <a:ext cx="1078200" cy="229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_x005F_x0000_s2049" style="position:absolute;margin-left:0.6pt;margin-top:-4.1pt;width:494.95pt;height:61.35pt" coordorigin="12,-82" coordsize="9899,1227">
                <v:shapetype id="_x0000_t202" coordsize="21600,21600" o:spt="202" path="m,l,21600l21600,21600l21600,xe">
                  <v:stroke joinstyle="miter"/>
                  <v:path gradientshapeok="t" o:connecttype="rect"/>
                </v:shapetype>
                <v:shape id="shape_0" ID="Прямоугольник 2" fillcolor="white" stroked="f" o:allowincell="f" style="position:absolute;left:12;top:-82;width:9898;height:1222;mso-wrap-style:square;v-text-anchor:top" type="_x0000_t202">
                  <v:textbox>
                    <w:txbxContent>
                      <w:p>
                        <w:pPr>
                          <w:overflowPunct w:val="false"/>
                          <w:jc w:val="center"/>
                          <w:rPr/>
                        </w:pPr>
                        <w:r>
                          <w:rPr>
                            <w:b/>
                            <w:sz w:val="28"/>
                            <w:rFonts w:ascii="Times New Roman" w:hAnsi="Times New Roman" w:eastAsia="WenQuanYi Zen Hei Sharp" w:cs="Droid Sans"/>
                            <w:lang w:eastAsia="zh-CN"/>
                          </w:rPr>
                          <w:t>АДМИНИСТРАЦИЯ ГОРОДА ПЕРМИ</w:t>
                        </w:r>
                      </w:p>
                      <w:p>
                        <w:pPr>
                          <w:overflowPunct w:val="false"/>
                          <w:jc w:val="center"/>
                          <w:rPr/>
                        </w:pPr>
                        <w:r>
                          <w:rPr>
                            <w:b/>
                            <w:sz w:val="28"/>
                            <w:rFonts w:ascii="Times New Roman" w:hAnsi="Times New Roman" w:eastAsia="WenQuanYi Zen Hei Sharp" w:cs="Droid Sans"/>
                            <w:lang w:eastAsia="zh-CN"/>
                          </w:rPr>
                          <w:t>П О С Т А Н О В Л Е Н И Е</w:t>
                        </w:r>
                      </w:p>
                      <w:p>
                        <w:pPr>
                          <w:overflowPunct w:val="false"/>
                          <w:jc w:val="center"/>
                          <w:rPr/>
                        </w:pPr>
                        <w:r>
                          <w:rPr>
                            <w:sz w:val="32"/>
                            <w:b/>
                            <w:rFonts w:ascii="Times New Roman" w:hAnsi="Times New Roman" w:eastAsia="WenQuanYi Zen Hei Sharp" w:cs="Droid Sans"/>
                            <w:lang w:eastAsia="zh-CN"/>
                          </w:rPr>
                        </w:r>
                      </w:p>
                      <w:p>
                        <w:pPr>
                          <w:overflowPunct w:val="false"/>
                          <w:jc w:val="center"/>
                          <w:rPr/>
                        </w:pPr>
                        <w:r>
                          <w:rPr>
                            <w:sz w:val="32"/>
                            <w:b/>
                            <w:rFonts w:ascii="Times New Roman" w:hAnsi="Times New Roman" w:eastAsia="WenQuanYi Zen Hei Sharp" w:cs="Droid Sans"/>
                            <w:lang w:eastAsia="zh-CN"/>
                          </w:rPr>
                        </w:r>
                      </w:p>
                    </w:txbxContent>
                  </v:textbox>
                  <v:fill o:detectmouseclick="t" type="solid" color2="black"/>
                  <v:stroke color="#3465a4" joinstyle="round" endcap="flat"/>
                  <w10:wrap type="none"/>
                </v:shape>
                <v:shape id="shape_0" ID="Прямоугольник 3" stroked="f" o:allowincell="f" style="position:absolute;left:419;top:780;width:2406;height:360;mso-wrap-style:none;v-text-anchor:middle" type="_x0000_t202">
                  <v:fill o:detectmouseclick="t" on="false"/>
                  <v:stroke color="#3465a4" joinstyle="round" endcap="flat"/>
                  <w10:wrap type="none"/>
                </v:shape>
                <v:shape id="shape_0" ID="Прямоугольник 4" fillcolor="white" stroked="f" o:allowincell="f" style="position:absolute;left:7804;top:784;width:1697;height:360;mso-wrap-style:none;v-text-anchor:middle" type="_x0000_t202">
                  <v:fill o:detectmouseclick="t" type="solid" color2="black"/>
                  <v:stroke color="#3465a4" joinstyle="round" endcap="flat"/>
                  <w10:wrap type="none"/>
                </v:shape>
              </v:group>
            </w:pict>
          </mc:Fallback>
        </mc:AlternateContent>
      </w:r>
    </w:p>
    <w:p>
      <w:pPr>
        <w:pStyle w:val="BodyText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BodyText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jc w:val="both"/>
        <w:rPr>
          <w:sz w:val="24"/>
          <w:lang w:val="en-US"/>
        </w:rPr>
      </w:pPr>
      <w:r>
        <w:rPr>
          <w:sz w:val="24"/>
          <w:lang w:val="en-US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3"/>
        <w:spacing w:lineRule="exact" w:line="240"/>
        <w:rPr>
          <w:b/>
          <w:bCs/>
        </w:rPr>
      </w:pPr>
      <w:r>
        <w:rPr>
          <w:b/>
          <w:bCs/>
        </w:rPr>
      </w:r>
    </w:p>
    <w:p>
      <w:pPr>
        <w:pStyle w:val="Style23"/>
        <w:spacing w:lineRule="exact" w:line="240"/>
        <w:rPr>
          <w:b/>
          <w:bCs/>
        </w:rPr>
      </w:pPr>
      <w:r>
        <w:rPr>
          <w:b/>
          <w:bCs/>
        </w:rPr>
      </w:r>
      <w:bookmarkStart w:id="0" w:name="_Hlk345729"/>
      <w:bookmarkStart w:id="1" w:name="_Hlk345729"/>
      <w:bookmarkEnd w:id="1"/>
    </w:p>
    <w:p>
      <w:pPr>
        <w:pStyle w:val="Style23"/>
        <w:spacing w:lineRule="exact" w:line="240"/>
        <w:jc w:val="center"/>
        <w:rPr>
          <w:b/>
        </w:rPr>
      </w:pPr>
      <w:r>
        <w:rPr>
          <w:b/>
        </w:rPr>
      </w:r>
    </w:p>
    <w:p>
      <w:pPr>
        <w:pStyle w:val="Style23"/>
        <w:spacing w:lineRule="exact" w:line="240"/>
        <w:jc w:val="center"/>
        <w:rPr>
          <w:b/>
        </w:rPr>
      </w:pPr>
      <w:r>
        <w:rPr>
          <w:b/>
        </w:rPr>
      </w:r>
    </w:p>
    <w:p>
      <w:pPr>
        <w:pStyle w:val="Style23"/>
        <w:spacing w:lineRule="exact" w:line="240"/>
        <w:jc w:val="center"/>
        <w:rPr>
          <w:b/>
        </w:rPr>
      </w:pPr>
      <w:r>
        <w:rPr>
          <w:b/>
        </w:rPr>
      </w:r>
    </w:p>
    <w:p>
      <w:pPr>
        <w:pStyle w:val="Normal"/>
        <w:spacing w:lineRule="exact" w:lin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Методику расчета нормативных затрат </w:t>
      </w:r>
    </w:p>
    <w:p>
      <w:pPr>
        <w:pStyle w:val="Normal"/>
        <w:spacing w:lineRule="exact" w:lin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оказа</w:t>
      </w:r>
      <w:r>
        <w:rPr>
          <w:b/>
          <w:sz w:val="28"/>
          <w:szCs w:val="28"/>
        </w:rPr>
        <w:t xml:space="preserve">ние муниципальной </w:t>
      </w:r>
      <w:r>
        <w:rPr>
          <w:b/>
          <w:sz w:val="28"/>
          <w:szCs w:val="28"/>
        </w:rPr>
        <w:t>услуги</w:t>
      </w:r>
      <w:r>
        <w:rPr>
          <w:b/>
          <w:sz w:val="28"/>
          <w:szCs w:val="28"/>
        </w:rPr>
        <w:t xml:space="preserve"> «Показ (организация показа)                      концертных  программ» (с учетом всех форм) и нормативных затрат на        содержание  </w:t>
      </w:r>
      <w:r>
        <w:rPr>
          <w:b/>
          <w:bCs/>
          <w:sz w:val="28"/>
          <w:szCs w:val="28"/>
        </w:rPr>
        <w:t xml:space="preserve">муниципального имущества </w:t>
      </w:r>
      <w:r>
        <w:rPr>
          <w:b/>
          <w:sz w:val="28"/>
          <w:szCs w:val="28"/>
        </w:rPr>
        <w:t xml:space="preserve">утвержденную постановлением администрации города Перми от </w:t>
      </w:r>
      <w:r>
        <w:rPr>
          <w:b/>
          <w:sz w:val="28"/>
          <w:szCs w:val="28"/>
        </w:rPr>
        <w:t>07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0.2016 № </w:t>
      </w:r>
      <w:r>
        <w:rPr>
          <w:b/>
          <w:sz w:val="28"/>
          <w:szCs w:val="28"/>
        </w:rPr>
        <w:t>80</w:t>
      </w:r>
      <w:r>
        <w:rPr>
          <w:b/>
          <w:sz w:val="28"/>
          <w:szCs w:val="28"/>
        </w:rPr>
        <w:t>3</w:t>
      </w:r>
    </w:p>
    <w:p>
      <w:pPr>
        <w:pStyle w:val="Normal"/>
        <w:spacing w:lineRule="exact" w:line="24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23"/>
        <w:spacing w:lineRule="exact" w:line="240"/>
        <w:rPr>
          <w:b/>
        </w:rPr>
      </w:pPr>
      <w:r>
        <w:rPr>
          <w:b/>
        </w:rPr>
      </w:r>
    </w:p>
    <w:p>
      <w:pPr>
        <w:pStyle w:val="Style23"/>
        <w:spacing w:lineRule="exact" w:line="240"/>
        <w:rPr>
          <w:b/>
        </w:rPr>
      </w:pPr>
      <w:r>
        <w:rPr>
          <w:b/>
        </w:rPr>
      </w:r>
    </w:p>
    <w:p>
      <w:pPr>
        <w:pStyle w:val="Style23"/>
        <w:spacing w:lineRule="exact" w:line="240"/>
        <w:rPr>
          <w:b/>
        </w:rPr>
      </w:pPr>
      <w:r>
        <w:rPr>
          <w:b/>
        </w:rPr>
      </w:r>
    </w:p>
    <w:p>
      <w:pPr>
        <w:pStyle w:val="Normal"/>
        <w:ind w:firstLine="720" w:right="0"/>
        <w:jc w:val="both"/>
        <w:rPr/>
      </w:pPr>
      <w:r>
        <w:rPr>
          <w:sz w:val="28"/>
        </w:rPr>
        <w:t xml:space="preserve">В соответствии </w:t>
      </w:r>
      <w:r>
        <w:rPr>
          <w:sz w:val="28"/>
          <w:szCs w:val="28"/>
        </w:rPr>
        <w:t>с Бюджетным кодексом Российской Федерации, постановлением администрации города Перми от 30 ноября 2007 г. № 502 «О Порядке формирования, размещения, финансового обеспечения и контроля выполнения муниципального задания на оказание муниципальных услуг (выполнение работ)», в целях актуализации нормативных правовых актов города Перми</w:t>
      </w:r>
    </w:p>
    <w:p>
      <w:pPr>
        <w:pStyle w:val="Normal"/>
        <w:jc w:val="both"/>
        <w:rPr/>
      </w:pPr>
      <w:r>
        <w:rPr>
          <w:sz w:val="28"/>
        </w:rPr>
        <w:t>администрация города Перми ПОСТАНОВЛЯЕТ:</w:t>
      </w:r>
    </w:p>
    <w:p>
      <w:pPr>
        <w:pStyle w:val="Normal"/>
        <w:ind w:firstLine="720" w:right="0"/>
        <w:jc w:val="both"/>
        <w:rPr/>
      </w:pPr>
      <w:bookmarkStart w:id="2" w:name="_Hlk501457340"/>
      <w:bookmarkEnd w:id="2"/>
      <w:r>
        <w:rPr>
          <w:sz w:val="28"/>
        </w:rPr>
        <w:t xml:space="preserve">1. </w:t>
      </w:r>
      <w:bookmarkStart w:id="3" w:name="_Hlk2329985"/>
      <w:r>
        <w:rPr>
          <w:sz w:val="28"/>
          <w:szCs w:val="28"/>
        </w:rPr>
        <w:t xml:space="preserve">Внести в </w:t>
      </w:r>
      <w:r>
        <w:rPr>
          <w:sz w:val="28"/>
        </w:rPr>
        <w:t xml:space="preserve">Методику расчета нормативных затрат на оказание муниципальной услуги </w:t>
      </w:r>
      <w:r>
        <w:rPr>
          <w:sz w:val="28"/>
          <w:szCs w:val="28"/>
        </w:rPr>
        <w:t xml:space="preserve">«Показ (организация показа) </w:t>
      </w:r>
      <w:bookmarkStart w:id="4" w:name="_Hlk174267712"/>
      <w:r>
        <w:rPr>
          <w:sz w:val="28"/>
          <w:szCs w:val="28"/>
        </w:rPr>
        <w:t xml:space="preserve">концертных программ» </w:t>
        <w:br/>
        <w:t xml:space="preserve">(с учетом всех форм) и нормативных затрат на содержание муниципального имущества, </w:t>
      </w:r>
      <w:bookmarkEnd w:id="4"/>
      <w:r>
        <w:rPr>
          <w:sz w:val="28"/>
        </w:rPr>
        <w:t>утвержденную постановлением администрации города Перми от 07 октября 2016 г. № 803</w:t>
      </w:r>
      <w:r>
        <w:rPr>
          <w:sz w:val="28"/>
          <w:szCs w:val="28"/>
        </w:rPr>
        <w:t xml:space="preserve"> (в ред. от 31.01.2017 № 57,</w:t>
      </w:r>
      <w:r>
        <w:rPr>
          <w:color w:val="392C6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 31.08.2017 </w:t>
        <w:br/>
        <w:t>№ 673</w:t>
      </w:r>
      <w:r>
        <w:rPr>
          <w:sz w:val="28"/>
          <w:szCs w:val="28"/>
        </w:rPr>
        <w:t>, от 27.10.2017 № 956, от 08.10.2018 № 687, от 03.04.2019 № 63-П,</w:t>
      </w:r>
      <w:r>
        <w:rPr/>
        <w:t xml:space="preserve"> </w:t>
        <w:br/>
      </w:r>
      <w:r>
        <w:rPr>
          <w:sz w:val="28"/>
          <w:szCs w:val="28"/>
        </w:rPr>
        <w:t>от 26.08.2020 № 753, от 11.08.2021 № 593, от 22.10.2021 № 937</w:t>
      </w:r>
      <w:r>
        <w:rPr>
          <w:sz w:val="28"/>
        </w:rPr>
        <w:t xml:space="preserve">, от 20.12.2021 </w:t>
        <w:br/>
        <w:t>№ 1161, от 25.10.2022 № 1079, от 07.09.2023 № 814, от 24.07.2024 № 600,              от 10.09.2024 № 750</w:t>
      </w:r>
      <w:r>
        <w:rPr>
          <w:sz w:val="28"/>
          <w:szCs w:val="28"/>
        </w:rPr>
        <w:t xml:space="preserve">), </w:t>
      </w:r>
      <w:bookmarkStart w:id="5" w:name="_Hlk45095863"/>
      <w:bookmarkEnd w:id="3"/>
      <w:r>
        <w:rPr>
          <w:sz w:val="28"/>
        </w:rPr>
        <w:t>следующие изменения:</w:t>
      </w:r>
      <w:bookmarkEnd w:id="5"/>
    </w:p>
    <w:p>
      <w:pPr>
        <w:pStyle w:val="Normal"/>
        <w:autoSpaceDE w:val="false"/>
        <w:ind w:firstLine="709" w:right="0"/>
        <w:jc w:val="both"/>
        <w:rPr/>
      </w:pPr>
      <w:bookmarkStart w:id="6" w:name="_Hlk501457340"/>
      <w:bookmarkEnd w:id="6"/>
      <w:r>
        <w:rPr>
          <w:sz w:val="28"/>
        </w:rPr>
        <w:t xml:space="preserve">1.1. в пункте 4.1: </w:t>
      </w:r>
    </w:p>
    <w:p>
      <w:pPr>
        <w:pStyle w:val="Normal"/>
        <w:autoSpaceDE w:val="false"/>
        <w:ind w:firstLine="709" w:right="0"/>
        <w:jc w:val="both"/>
        <w:rPr/>
      </w:pPr>
      <w:r>
        <w:rPr>
          <w:sz w:val="28"/>
        </w:rPr>
        <w:t xml:space="preserve">1.1.1. в абзаце первом слова «01 августа 2024» заменить словами «01 </w:t>
      </w:r>
      <w:r>
        <w:rPr>
          <w:sz w:val="28"/>
        </w:rPr>
        <w:t>июл</w:t>
      </w:r>
      <w:r>
        <w:rPr>
          <w:sz w:val="28"/>
        </w:rPr>
        <w:t>я 2026»;</w:t>
      </w:r>
    </w:p>
    <w:p>
      <w:pPr>
        <w:pStyle w:val="Normal"/>
        <w:autoSpaceDE w:val="false"/>
        <w:ind w:firstLine="709" w:right="0"/>
        <w:jc w:val="both"/>
        <w:rPr/>
      </w:pPr>
      <w:r>
        <w:rPr>
          <w:sz w:val="28"/>
        </w:rPr>
        <w:t xml:space="preserve">1.1.2. абзац третий </w:t>
      </w:r>
      <w:bookmarkStart w:id="7" w:name="_Hlk174352493"/>
      <w:r>
        <w:rPr>
          <w:sz w:val="28"/>
        </w:rPr>
        <w:t>признать утратившим силу;</w:t>
      </w:r>
    </w:p>
    <w:p>
      <w:pPr>
        <w:pStyle w:val="Normal"/>
        <w:autoSpaceDE w:val="false"/>
        <w:ind w:firstLine="709" w:right="0"/>
        <w:jc w:val="both"/>
        <w:rPr/>
      </w:pPr>
      <w:bookmarkEnd w:id="7"/>
      <w:r>
        <w:rPr>
          <w:sz w:val="28"/>
        </w:rPr>
        <w:t>1.2. в пункте 4.3</w:t>
      </w:r>
      <w:r>
        <w:rPr>
          <w:sz w:val="28"/>
          <w:vertAlign w:val="superscript"/>
        </w:rPr>
        <w:t>2</w:t>
      </w:r>
      <w:r>
        <w:rPr>
          <w:sz w:val="28"/>
        </w:rPr>
        <w:t>:</w:t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  <w:szCs w:val="28"/>
        </w:rPr>
        <w:t xml:space="preserve">1.2.1. </w:t>
      </w:r>
      <w:r>
        <w:rPr>
          <w:sz w:val="28"/>
        </w:rPr>
        <w:t>абзац второй изложить в следующей редакции:</w:t>
      </w:r>
    </w:p>
    <w:p>
      <w:pPr>
        <w:pStyle w:val="Normal"/>
        <w:numPr>
          <w:ilvl w:val="0"/>
          <w:numId w:val="0"/>
        </w:numPr>
        <w:autoSpaceDE w:val="false"/>
        <w:ind w:firstLine="720" w:right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autoSpaceDE w:val="false"/>
        <w:jc w:val="center"/>
        <w:rPr/>
      </w:pPr>
      <w:r>
        <w:rPr>
          <w:sz w:val="28"/>
          <w:szCs w:val="28"/>
        </w:rPr>
        <w:t>N</w:t>
      </w:r>
      <w:r>
        <w:rPr>
          <w:sz w:val="28"/>
          <w:szCs w:val="28"/>
          <w:vertAlign w:val="superscript"/>
        </w:rPr>
        <w:t>КУ1</w:t>
      </w:r>
      <w:r>
        <w:rPr>
          <w:sz w:val="28"/>
          <w:szCs w:val="28"/>
        </w:rPr>
        <w:t xml:space="preserve"> = N</w:t>
      </w:r>
      <w:r>
        <w:rPr>
          <w:sz w:val="28"/>
          <w:szCs w:val="28"/>
          <w:vertAlign w:val="subscript"/>
        </w:rPr>
        <w:t>эл1</w:t>
      </w:r>
      <w:r>
        <w:rPr>
          <w:sz w:val="28"/>
          <w:szCs w:val="28"/>
        </w:rPr>
        <w:t xml:space="preserve"> + N</w:t>
      </w:r>
      <w:r>
        <w:rPr>
          <w:sz w:val="28"/>
          <w:szCs w:val="28"/>
          <w:vertAlign w:val="subscript"/>
        </w:rPr>
        <w:t>тепло1</w:t>
      </w:r>
      <w:r>
        <w:rPr>
          <w:sz w:val="28"/>
          <w:szCs w:val="28"/>
        </w:rPr>
        <w:t xml:space="preserve"> + N</w:t>
      </w:r>
      <w:r>
        <w:rPr>
          <w:sz w:val="28"/>
          <w:szCs w:val="28"/>
          <w:vertAlign w:val="subscript"/>
        </w:rPr>
        <w:t>вода1 +</w:t>
      </w:r>
      <w:r>
        <w:rPr>
          <w:sz w:val="28"/>
          <w:szCs w:val="28"/>
        </w:rPr>
        <w:t>+ N</w:t>
      </w:r>
      <w:r>
        <w:rPr>
          <w:sz w:val="28"/>
          <w:szCs w:val="28"/>
          <w:vertAlign w:val="subscript"/>
        </w:rPr>
        <w:t xml:space="preserve">нетив1 </w:t>
      </w:r>
      <w:r>
        <w:rPr>
          <w:sz w:val="28"/>
          <w:szCs w:val="28"/>
        </w:rPr>
        <w:t>, где</w:t>
      </w:r>
    </w:p>
    <w:p>
      <w:pPr>
        <w:pStyle w:val="Normal"/>
        <w:autoSpaceDE w:val="false"/>
        <w:ind w:firstLine="72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  <w:szCs w:val="28"/>
        </w:rPr>
        <w:t>1.2.2. после абзаца пятого дополнить абзацем следующего содержания: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>«N</w:t>
      </w:r>
      <w:r>
        <w:rPr>
          <w:sz w:val="28"/>
          <w:szCs w:val="28"/>
          <w:vertAlign w:val="subscript"/>
        </w:rPr>
        <w:t xml:space="preserve">нетив1 </w:t>
      </w:r>
      <w:r>
        <w:rPr>
          <w:sz w:val="28"/>
          <w:szCs w:val="28"/>
        </w:rPr>
        <w:t>–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затраты по плате за негативное воздействие на работу централизованной системы водоотведения, непосредственно связанные с оказанием муниципальной услуги.»;</w:t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  <w:szCs w:val="28"/>
        </w:rPr>
        <w:t xml:space="preserve">1.2.3. </w:t>
      </w:r>
      <w:r>
        <w:rPr>
          <w:sz w:val="28"/>
        </w:rPr>
        <w:t>в абзаце восьмом цифры «2023» заменить цифрами</w:t>
      </w:r>
      <w:r>
        <w:rPr>
          <w:sz w:val="28"/>
          <w:shd w:fill="auto" w:val="clear"/>
        </w:rPr>
        <w:t xml:space="preserve"> «202</w:t>
      </w:r>
      <w:r>
        <w:rPr>
          <w:sz w:val="28"/>
          <w:shd w:fill="auto" w:val="clear"/>
        </w:rPr>
        <w:t>5</w:t>
      </w:r>
      <w:r>
        <w:rPr>
          <w:sz w:val="28"/>
          <w:shd w:fill="auto" w:val="clear"/>
        </w:rPr>
        <w:t>»;</w:t>
      </w:r>
    </w:p>
    <w:p>
      <w:pPr>
        <w:pStyle w:val="Normal"/>
        <w:autoSpaceDE w:val="false"/>
        <w:ind w:firstLine="720" w:right="0"/>
        <w:jc w:val="both"/>
        <w:rPr>
          <w:highlight w:val="none"/>
          <w:shd w:fill="auto" w:val="clear"/>
        </w:rPr>
      </w:pPr>
      <w:r>
        <w:rPr>
          <w:sz w:val="28"/>
          <w:shd w:fill="auto" w:val="clear"/>
        </w:rPr>
        <w:t>1.2.4. в абзаце одиннадцатом цифры «2023» заменить цифрами «202</w:t>
      </w:r>
      <w:r>
        <w:rPr>
          <w:sz w:val="28"/>
          <w:shd w:fill="auto" w:val="clear"/>
        </w:rPr>
        <w:t>5</w:t>
      </w:r>
      <w:r>
        <w:rPr>
          <w:sz w:val="28"/>
          <w:shd w:fill="auto" w:val="clear"/>
        </w:rPr>
        <w:t>»;</w:t>
      </w:r>
    </w:p>
    <w:p>
      <w:pPr>
        <w:pStyle w:val="Normal"/>
        <w:autoSpaceDE w:val="false"/>
        <w:ind w:firstLine="720" w:right="0"/>
        <w:jc w:val="both"/>
        <w:rPr>
          <w:highlight w:val="none"/>
          <w:shd w:fill="auto" w:val="clear"/>
        </w:rPr>
      </w:pPr>
      <w:r>
        <w:rPr>
          <w:sz w:val="28"/>
          <w:shd w:fill="auto" w:val="clear"/>
        </w:rPr>
        <w:t>1.2.5. в абзаце четырнадцатом цифры «2023» заменить цифрами «202</w:t>
      </w:r>
      <w:r>
        <w:rPr>
          <w:sz w:val="28"/>
          <w:shd w:fill="auto" w:val="clear"/>
        </w:rPr>
        <w:t>5</w:t>
      </w:r>
      <w:r>
        <w:rPr>
          <w:sz w:val="28"/>
          <w:shd w:fill="auto" w:val="clear"/>
        </w:rPr>
        <w:t>»;</w:t>
      </w:r>
    </w:p>
    <w:p>
      <w:pPr>
        <w:pStyle w:val="Normal"/>
        <w:ind w:firstLine="567" w:right="0"/>
        <w:jc w:val="both"/>
        <w:rPr/>
      </w:pPr>
      <w:r>
        <w:rPr>
          <w:sz w:val="28"/>
          <w:szCs w:val="28"/>
        </w:rPr>
        <w:tab/>
        <w:t xml:space="preserve">1.2.6. </w:t>
      </w:r>
      <w:r>
        <w:rPr>
          <w:sz w:val="28"/>
        </w:rPr>
        <w:t xml:space="preserve">после </w:t>
      </w:r>
      <w:r>
        <w:rPr>
          <w:sz w:val="28"/>
          <w:szCs w:val="28"/>
        </w:rPr>
        <w:t>абзаца пятнадцатого дополнить абзацами шестнадцатым - восемнадцатым следующего содержания:</w:t>
      </w:r>
    </w:p>
    <w:p>
      <w:pPr>
        <w:pStyle w:val="Normal"/>
        <w:ind w:firstLine="567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firstLine="720" w:right="0"/>
        <w:jc w:val="center"/>
        <w:rPr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 xml:space="preserve">негатив1 </w:t>
      </w:r>
      <w:r>
        <w:rPr>
          <w:sz w:val="28"/>
          <w:szCs w:val="28"/>
        </w:rPr>
        <w:t>=</w:t>
      </w:r>
      <w:r>
        <w:rPr>
          <w:sz w:val="28"/>
          <w:szCs w:val="28"/>
          <w:vertAlign w:val="subscript"/>
        </w:rPr>
        <w:t xml:space="preserve">  </w:t>
      </w: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 xml:space="preserve">негатив1 </w:t>
      </w:r>
      <w:r>
        <w:rPr>
          <w:sz w:val="28"/>
          <w:szCs w:val="28"/>
        </w:rPr>
        <w:t>х R</w:t>
      </w:r>
      <w:r>
        <w:rPr>
          <w:sz w:val="28"/>
          <w:szCs w:val="28"/>
          <w:vertAlign w:val="subscript"/>
        </w:rPr>
        <w:t>негатив</w:t>
      </w:r>
      <w:r>
        <w:rPr/>
        <w:t xml:space="preserve"> x D</w:t>
      </w:r>
      <w:r>
        <w:rPr>
          <w:vertAlign w:val="subscript"/>
        </w:rPr>
        <w:t>pd</w:t>
      </w:r>
      <w:r>
        <w:rPr>
          <w:sz w:val="28"/>
          <w:szCs w:val="28"/>
        </w:rPr>
        <w:t>, где</w:t>
      </w:r>
    </w:p>
    <w:p>
      <w:pPr>
        <w:pStyle w:val="Normal"/>
        <w:ind w:firstLine="720" w:right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негатив1</w:t>
      </w:r>
      <w:r>
        <w:rPr>
          <w:sz w:val="28"/>
          <w:szCs w:val="28"/>
        </w:rPr>
        <w:t xml:space="preserve"> – значение натуральной нормы затрат </w:t>
      </w:r>
      <w:r>
        <w:rPr>
          <w:sz w:val="28"/>
        </w:rPr>
        <w:t xml:space="preserve">по плате услуг </w:t>
      </w:r>
      <w:r>
        <w:rPr>
          <w:sz w:val="28"/>
          <w:szCs w:val="28"/>
        </w:rPr>
        <w:t xml:space="preserve">за негативное воздействие на работу централизованной системы водоотведения, непосредственно связанных с оказанием муниципальной услуги, рассчитанное как отношение количества единиц оказанных услуг </w:t>
      </w:r>
      <w:r>
        <w:rPr>
          <w:sz w:val="28"/>
        </w:rPr>
        <w:t xml:space="preserve">по плате </w:t>
      </w:r>
      <w:r>
        <w:rPr>
          <w:sz w:val="28"/>
          <w:szCs w:val="28"/>
        </w:rPr>
        <w:t>за негативное воздействие на работу централизованной системы водоотведения к среднему числу зрителей (человек);</w:t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>негатив</w:t>
      </w:r>
      <w:r>
        <w:rPr>
          <w:sz w:val="28"/>
          <w:szCs w:val="28"/>
        </w:rPr>
        <w:t xml:space="preserve"> </w:t>
      </w:r>
      <w:bookmarkStart w:id="8" w:name="_Hlk194309603"/>
      <w:r>
        <w:rPr>
          <w:sz w:val="28"/>
          <w:szCs w:val="28"/>
        </w:rPr>
        <w:t>–</w:t>
      </w:r>
      <w:bookmarkEnd w:id="8"/>
      <w:r>
        <w:rPr>
          <w:sz w:val="28"/>
          <w:szCs w:val="28"/>
        </w:rPr>
        <w:t xml:space="preserve"> цена (тариф) на оказание услуг </w:t>
      </w:r>
      <w:r>
        <w:rPr>
          <w:sz w:val="28"/>
        </w:rPr>
        <w:t xml:space="preserve">по плате </w:t>
      </w:r>
      <w:r>
        <w:rPr>
          <w:sz w:val="28"/>
          <w:szCs w:val="28"/>
        </w:rPr>
        <w:t>за негативное воздействие на работу централизованной системы водоотведения (руб.).».</w:t>
      </w:r>
    </w:p>
    <w:p>
      <w:pPr>
        <w:pStyle w:val="Normal"/>
        <w:autoSpaceDE w:val="false"/>
        <w:ind w:firstLine="709" w:right="0"/>
        <w:jc w:val="both"/>
        <w:rPr/>
      </w:pPr>
      <w:r>
        <w:rPr>
          <w:sz w:val="28"/>
        </w:rPr>
        <w:t>1.3. в пункте 4.5:</w:t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  <w:szCs w:val="28"/>
        </w:rPr>
        <w:t xml:space="preserve">1.3.1. </w:t>
      </w:r>
      <w:r>
        <w:rPr>
          <w:sz w:val="28"/>
        </w:rPr>
        <w:t>абзац второй изложить в следующей редакции:</w:t>
      </w:r>
    </w:p>
    <w:p>
      <w:pPr>
        <w:pStyle w:val="Normal"/>
        <w:numPr>
          <w:ilvl w:val="0"/>
          <w:numId w:val="0"/>
        </w:numPr>
        <w:autoSpaceDE w:val="false"/>
        <w:ind w:firstLine="720" w:right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autoSpaceDE w:val="false"/>
        <w:jc w:val="center"/>
        <w:rPr/>
      </w:pPr>
      <w:r>
        <w:rPr>
          <w:sz w:val="28"/>
          <w:szCs w:val="28"/>
        </w:rPr>
        <w:t>N</w:t>
      </w:r>
      <w:r>
        <w:rPr>
          <w:sz w:val="28"/>
          <w:szCs w:val="28"/>
          <w:vertAlign w:val="superscript"/>
        </w:rPr>
        <w:t>КУ2</w:t>
      </w:r>
      <w:r>
        <w:rPr>
          <w:sz w:val="28"/>
          <w:szCs w:val="28"/>
        </w:rPr>
        <w:t xml:space="preserve"> = N</w:t>
      </w:r>
      <w:r>
        <w:rPr>
          <w:sz w:val="28"/>
          <w:szCs w:val="28"/>
          <w:vertAlign w:val="subscript"/>
        </w:rPr>
        <w:t>эл2</w:t>
      </w:r>
      <w:r>
        <w:rPr>
          <w:sz w:val="28"/>
          <w:szCs w:val="28"/>
        </w:rPr>
        <w:t xml:space="preserve"> + N</w:t>
      </w:r>
      <w:r>
        <w:rPr>
          <w:sz w:val="28"/>
          <w:szCs w:val="28"/>
          <w:vertAlign w:val="subscript"/>
        </w:rPr>
        <w:t>тепло2</w:t>
      </w:r>
      <w:r>
        <w:rPr>
          <w:sz w:val="28"/>
          <w:szCs w:val="28"/>
        </w:rPr>
        <w:t xml:space="preserve"> + N</w:t>
      </w:r>
      <w:r>
        <w:rPr>
          <w:sz w:val="28"/>
          <w:szCs w:val="28"/>
          <w:vertAlign w:val="subscript"/>
        </w:rPr>
        <w:t>вода2 +</w:t>
      </w:r>
      <w:r>
        <w:rPr>
          <w:sz w:val="28"/>
          <w:szCs w:val="28"/>
        </w:rPr>
        <w:t>+ N</w:t>
      </w:r>
      <w:r>
        <w:rPr>
          <w:sz w:val="28"/>
          <w:szCs w:val="28"/>
          <w:vertAlign w:val="subscript"/>
        </w:rPr>
        <w:t xml:space="preserve">нетив2  </w:t>
      </w:r>
      <w:r>
        <w:rPr>
          <w:sz w:val="28"/>
          <w:szCs w:val="28"/>
        </w:rPr>
        <w:t>+ N</w:t>
      </w:r>
      <w:r>
        <w:rPr>
          <w:sz w:val="28"/>
          <w:szCs w:val="28"/>
          <w:vertAlign w:val="subscript"/>
        </w:rPr>
        <w:t xml:space="preserve">тко  </w:t>
      </w:r>
      <w:r>
        <w:rPr>
          <w:sz w:val="28"/>
          <w:szCs w:val="28"/>
        </w:rPr>
        <w:t>, где</w:t>
      </w:r>
    </w:p>
    <w:p>
      <w:pPr>
        <w:pStyle w:val="Normal"/>
        <w:autoSpaceDE w:val="false"/>
        <w:ind w:firstLine="72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  <w:szCs w:val="28"/>
        </w:rPr>
        <w:t>1.3.2. после абзаца пятого дополнить абзацем следующего содержания: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>«N</w:t>
      </w:r>
      <w:r>
        <w:rPr>
          <w:sz w:val="28"/>
          <w:szCs w:val="28"/>
          <w:vertAlign w:val="subscript"/>
        </w:rPr>
        <w:t xml:space="preserve">нетив2 </w:t>
      </w:r>
      <w:r>
        <w:rPr>
          <w:sz w:val="28"/>
          <w:szCs w:val="28"/>
        </w:rPr>
        <w:t>–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затраты по плате за негативное воздействие на работу централизованной системы водоотведения, за исключением затрат, непосредственно связанных с оказанием муниципальной услуги.»;</w:t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  <w:szCs w:val="28"/>
        </w:rPr>
        <w:t xml:space="preserve">1.3.3. </w:t>
      </w:r>
      <w:r>
        <w:rPr>
          <w:sz w:val="28"/>
        </w:rPr>
        <w:t>в абзаце девятом цифры «2023» заменить цифрам</w:t>
      </w:r>
      <w:r>
        <w:rPr>
          <w:sz w:val="28"/>
          <w:shd w:fill="auto" w:val="clear"/>
        </w:rPr>
        <w:t>и «202</w:t>
      </w:r>
      <w:r>
        <w:rPr>
          <w:sz w:val="28"/>
          <w:shd w:fill="auto" w:val="clear"/>
        </w:rPr>
        <w:t>5</w:t>
      </w:r>
      <w:r>
        <w:rPr>
          <w:sz w:val="28"/>
          <w:shd w:fill="auto" w:val="clear"/>
        </w:rPr>
        <w:t>»;</w:t>
      </w:r>
    </w:p>
    <w:p>
      <w:pPr>
        <w:pStyle w:val="Normal"/>
        <w:autoSpaceDE w:val="false"/>
        <w:ind w:firstLine="720" w:right="0"/>
        <w:jc w:val="both"/>
        <w:rPr>
          <w:highlight w:val="none"/>
          <w:shd w:fill="auto" w:val="clear"/>
        </w:rPr>
      </w:pPr>
      <w:r>
        <w:rPr>
          <w:sz w:val="28"/>
          <w:shd w:fill="auto" w:val="clear"/>
        </w:rPr>
        <w:t>1.3.4. в абзаце двенадцатом цифры «2023» заменить цифрами «202</w:t>
      </w:r>
      <w:r>
        <w:rPr>
          <w:sz w:val="28"/>
          <w:shd w:fill="auto" w:val="clear"/>
        </w:rPr>
        <w:t>5</w:t>
      </w:r>
      <w:r>
        <w:rPr>
          <w:sz w:val="28"/>
          <w:shd w:fill="auto" w:val="clear"/>
        </w:rPr>
        <w:t>»;</w:t>
      </w:r>
    </w:p>
    <w:p>
      <w:pPr>
        <w:pStyle w:val="Normal"/>
        <w:autoSpaceDE w:val="false"/>
        <w:ind w:firstLine="720" w:right="0"/>
        <w:jc w:val="both"/>
        <w:rPr>
          <w:highlight w:val="none"/>
          <w:shd w:fill="auto" w:val="clear"/>
        </w:rPr>
      </w:pPr>
      <w:r>
        <w:rPr>
          <w:sz w:val="28"/>
          <w:shd w:fill="auto" w:val="clear"/>
        </w:rPr>
        <w:t>1.3.5. в абзаце пятнадцатом цифры «2023» заменить цифрами «202</w:t>
      </w:r>
      <w:r>
        <w:rPr>
          <w:sz w:val="28"/>
          <w:shd w:fill="auto" w:val="clear"/>
        </w:rPr>
        <w:t>5</w:t>
      </w:r>
      <w:r>
        <w:rPr>
          <w:sz w:val="28"/>
          <w:shd w:fill="auto" w:val="clear"/>
        </w:rPr>
        <w:t>»;</w:t>
      </w:r>
    </w:p>
    <w:p>
      <w:pPr>
        <w:pStyle w:val="Normal"/>
        <w:ind w:firstLine="567" w:right="0"/>
        <w:jc w:val="both"/>
        <w:rPr/>
      </w:pPr>
      <w:r>
        <w:rPr>
          <w:sz w:val="28"/>
          <w:szCs w:val="28"/>
        </w:rPr>
        <w:tab/>
        <w:t xml:space="preserve">1.3.6. </w:t>
      </w:r>
      <w:r>
        <w:rPr>
          <w:sz w:val="28"/>
        </w:rPr>
        <w:t xml:space="preserve">после </w:t>
      </w:r>
      <w:r>
        <w:rPr>
          <w:sz w:val="28"/>
          <w:szCs w:val="28"/>
        </w:rPr>
        <w:t>абзаца шестнадцатого дополнить абзацами семнадцатым - девятнадцатым следующего содержания:</w:t>
      </w:r>
    </w:p>
    <w:p>
      <w:pPr>
        <w:pStyle w:val="Normal"/>
        <w:ind w:firstLine="567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firstLine="720" w:right="0"/>
        <w:jc w:val="center"/>
        <w:rPr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 xml:space="preserve">негатив2 </w:t>
      </w:r>
      <w:r>
        <w:rPr>
          <w:sz w:val="28"/>
          <w:szCs w:val="28"/>
        </w:rPr>
        <w:t>=</w:t>
      </w:r>
      <w:r>
        <w:rPr>
          <w:sz w:val="28"/>
          <w:szCs w:val="28"/>
          <w:vertAlign w:val="subscript"/>
        </w:rPr>
        <w:t xml:space="preserve">  </w:t>
      </w: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 xml:space="preserve">негатив2 </w:t>
      </w:r>
      <w:r>
        <w:rPr>
          <w:sz w:val="28"/>
          <w:szCs w:val="28"/>
        </w:rPr>
        <w:t>х R</w:t>
      </w:r>
      <w:r>
        <w:rPr>
          <w:sz w:val="28"/>
          <w:szCs w:val="28"/>
          <w:vertAlign w:val="subscript"/>
        </w:rPr>
        <w:t>негатив</w:t>
      </w:r>
      <w:r>
        <w:rPr/>
        <w:t xml:space="preserve"> x D</w:t>
      </w:r>
      <w:r>
        <w:rPr>
          <w:vertAlign w:val="subscript"/>
        </w:rPr>
        <w:t>pd</w:t>
      </w:r>
      <w:r>
        <w:rPr>
          <w:sz w:val="28"/>
          <w:szCs w:val="28"/>
        </w:rPr>
        <w:t>, где</w:t>
      </w:r>
    </w:p>
    <w:p>
      <w:pPr>
        <w:pStyle w:val="Normal"/>
        <w:ind w:firstLine="720" w:right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негатив2</w:t>
      </w:r>
      <w:r>
        <w:rPr>
          <w:sz w:val="28"/>
          <w:szCs w:val="28"/>
        </w:rPr>
        <w:t xml:space="preserve"> – значение натуральной нормы затрат </w:t>
      </w:r>
      <w:r>
        <w:rPr>
          <w:sz w:val="28"/>
        </w:rPr>
        <w:t xml:space="preserve">по плате услуг </w:t>
      </w:r>
      <w:r>
        <w:rPr>
          <w:sz w:val="28"/>
          <w:szCs w:val="28"/>
        </w:rPr>
        <w:t xml:space="preserve">за негативное воздействие на работу централизованной системы водоотведения, за исключением затрат, непосредственно связанных с оказанием муниципальной услуги, рассчитанное как отношение количества единиц оказанных услуг </w:t>
      </w:r>
      <w:r>
        <w:rPr>
          <w:sz w:val="28"/>
        </w:rPr>
        <w:t xml:space="preserve">по плате </w:t>
      </w:r>
      <w:r>
        <w:rPr>
          <w:sz w:val="28"/>
          <w:szCs w:val="28"/>
        </w:rPr>
        <w:t>за негативное воздействие на работу централизованной системы водоотведения к среднему числу зрителей (человек);</w:t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>негатив</w:t>
      </w:r>
      <w:r>
        <w:rPr>
          <w:sz w:val="28"/>
          <w:szCs w:val="28"/>
        </w:rPr>
        <w:t xml:space="preserve"> – цена (тариф) на оказание услуг </w:t>
      </w:r>
      <w:r>
        <w:rPr>
          <w:sz w:val="28"/>
        </w:rPr>
        <w:t xml:space="preserve">по плате </w:t>
      </w:r>
      <w:r>
        <w:rPr>
          <w:sz w:val="28"/>
          <w:szCs w:val="28"/>
        </w:rPr>
        <w:t>за негативное воздействие на работу централизованной системы водоотведения (руб.).».</w:t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  <w:szCs w:val="28"/>
        </w:rPr>
        <w:t xml:space="preserve">1.3.7. </w:t>
      </w:r>
      <w:r>
        <w:rPr>
          <w:sz w:val="28"/>
        </w:rPr>
        <w:t>абзац восемнадцатый изложить в следующей редакции:</w:t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  <w:szCs w:val="28"/>
        </w:rPr>
        <w:t>«n</w:t>
      </w:r>
      <w:r>
        <w:rPr>
          <w:sz w:val="28"/>
          <w:szCs w:val="28"/>
          <w:vertAlign w:val="subscript"/>
        </w:rPr>
        <w:t>тко</w:t>
      </w:r>
      <w:r>
        <w:rPr>
          <w:sz w:val="28"/>
          <w:szCs w:val="28"/>
        </w:rPr>
        <w:t xml:space="preserve"> - значение натуральной нормы потребления услуг по вывозу твердых коммунальных отходов, рассчитанное как отношение количества единиц выполненных услуг по вывозу твердых коммунальных отходов к среднему числу зрителей (человек);»;</w:t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  <w:szCs w:val="28"/>
        </w:rPr>
        <w:t>1.4. в пункте 4.5</w:t>
      </w:r>
      <w:r>
        <w:rPr>
          <w:sz w:val="28"/>
          <w:szCs w:val="28"/>
          <w:vertAlign w:val="superscript"/>
        </w:rPr>
        <w:t xml:space="preserve">1 </w:t>
      </w:r>
      <w:r>
        <w:rPr>
          <w:sz w:val="28"/>
          <w:szCs w:val="28"/>
        </w:rPr>
        <w:t>цифры «</w:t>
      </w:r>
      <w:r>
        <w:rPr>
          <w:sz w:val="28"/>
        </w:rPr>
        <w:t>4.3</w:t>
      </w:r>
      <w:r>
        <w:rPr>
          <w:sz w:val="28"/>
          <w:vertAlign w:val="superscript"/>
        </w:rPr>
        <w:t>1</w:t>
      </w:r>
      <w:r>
        <w:rPr>
          <w:sz w:val="28"/>
        </w:rPr>
        <w:t>» заменить цифрами</w:t>
      </w:r>
      <w:r>
        <w:rPr>
          <w:sz w:val="28"/>
          <w:vertAlign w:val="superscript"/>
        </w:rPr>
        <w:t xml:space="preserve"> </w:t>
      </w:r>
      <w:r>
        <w:rPr>
          <w:sz w:val="28"/>
        </w:rPr>
        <w:t>«4.3</w:t>
      </w:r>
      <w:r>
        <w:rPr>
          <w:sz w:val="28"/>
          <w:vertAlign w:val="superscript"/>
        </w:rPr>
        <w:t>2</w:t>
      </w:r>
      <w:r>
        <w:rPr>
          <w:sz w:val="28"/>
        </w:rPr>
        <w:t>»;</w:t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</w:rPr>
        <w:t>1.5. абзац одиннадцатый пункта 4.6 изложить в следующей редакции:</w:t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</w:rPr>
        <w:t>«ремонт оборудования.»;</w:t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</w:rPr>
        <w:t>1.6. пункт 4.10 изложить в следующей редакции:</w:t>
      </w:r>
    </w:p>
    <w:p>
      <w:pPr>
        <w:pStyle w:val="Normal"/>
        <w:autoSpaceDE w:val="false"/>
        <w:ind w:firstLine="720" w:right="0"/>
        <w:jc w:val="both"/>
        <w:rPr/>
      </w:pPr>
      <w:r>
        <w:rPr>
          <w:color w:val="000000"/>
          <w:sz w:val="28"/>
          <w:szCs w:val="28"/>
          <w:u w:val="none"/>
        </w:rPr>
        <w:t>«4.10. Затраты на прочие общехозяйственные нужды (N</w:t>
      </w:r>
      <w:r>
        <w:rPr>
          <w:color w:val="000000"/>
          <w:sz w:val="28"/>
          <w:szCs w:val="28"/>
          <w:u w:val="none"/>
          <w:vertAlign w:val="superscript"/>
        </w:rPr>
        <w:t>ПНЗ</w:t>
      </w:r>
      <w:r>
        <w:rPr>
          <w:color w:val="000000"/>
          <w:sz w:val="28"/>
          <w:szCs w:val="28"/>
          <w:u w:val="none"/>
        </w:rPr>
        <w:t xml:space="preserve">) определяются согласно </w:t>
      </w:r>
      <w:hyperlink r:id="rId3">
        <w:r>
          <w:rPr>
            <w:rStyle w:val="Hyperlink"/>
            <w:color w:val="000000"/>
            <w:sz w:val="28"/>
            <w:szCs w:val="28"/>
            <w:u w:val="none"/>
          </w:rPr>
          <w:t>пункту 1.3</w:t>
        </w:r>
      </w:hyperlink>
      <w:r>
        <w:rPr>
          <w:color w:val="000000"/>
          <w:sz w:val="28"/>
          <w:szCs w:val="28"/>
          <w:u w:val="none"/>
        </w:rPr>
        <w:t xml:space="preserve"> настоящей Методики и рассчитываются по следующей формуле:</w:t>
      </w:r>
    </w:p>
    <w:p>
      <w:pPr>
        <w:pStyle w:val="Normal"/>
        <w:numPr>
          <w:ilvl w:val="0"/>
          <w:numId w:val="0"/>
        </w:numPr>
        <w:autoSpaceDE w:val="false"/>
        <w:jc w:val="both"/>
        <w:outlineLvl w:val="0"/>
        <w:rPr>
          <w:color w:val="000000"/>
          <w:sz w:val="28"/>
          <w:szCs w:val="28"/>
          <w:u w:val="none"/>
        </w:rPr>
      </w:pPr>
      <w:r>
        <w:rPr>
          <w:color w:val="000000"/>
          <w:sz w:val="28"/>
          <w:szCs w:val="28"/>
          <w:u w:val="none"/>
        </w:rPr>
      </w:r>
    </w:p>
    <w:p>
      <w:pPr>
        <w:pStyle w:val="Normal"/>
        <w:autoSpaceDE w:val="false"/>
        <w:jc w:val="center"/>
        <w:rPr>
          <w:color w:val="000000"/>
          <w:u w:val="none"/>
        </w:rPr>
      </w:pPr>
      <w:r>
        <w:rPr>
          <w:color w:val="000000"/>
          <w:sz w:val="28"/>
          <w:szCs w:val="28"/>
          <w:u w:val="none"/>
        </w:rPr>
        <w:t>N</w:t>
      </w:r>
      <w:r>
        <w:rPr>
          <w:color w:val="000000"/>
          <w:sz w:val="28"/>
          <w:szCs w:val="28"/>
          <w:u w:val="none"/>
          <w:vertAlign w:val="superscript"/>
        </w:rPr>
        <w:t>ПНЗ</w:t>
      </w:r>
      <w:r>
        <w:rPr>
          <w:color w:val="000000"/>
          <w:sz w:val="28"/>
          <w:szCs w:val="28"/>
          <w:u w:val="none"/>
        </w:rPr>
        <w:t xml:space="preserve"> = N</w:t>
      </w:r>
      <w:r>
        <w:rPr>
          <w:color w:val="000000"/>
          <w:sz w:val="28"/>
          <w:szCs w:val="28"/>
          <w:u w:val="none"/>
          <w:vertAlign w:val="superscript"/>
        </w:rPr>
        <w:t>ПР</w:t>
      </w:r>
      <w:r>
        <w:rPr>
          <w:color w:val="000000"/>
          <w:sz w:val="28"/>
          <w:szCs w:val="28"/>
          <w:u w:val="none"/>
        </w:rPr>
        <w:t xml:space="preserve"> + N</w:t>
      </w:r>
      <w:r>
        <w:rPr>
          <w:color w:val="000000"/>
          <w:sz w:val="28"/>
          <w:szCs w:val="28"/>
          <w:u w:val="none"/>
          <w:vertAlign w:val="superscript"/>
        </w:rPr>
        <w:t>ОЦ</w:t>
      </w:r>
      <w:r>
        <w:rPr>
          <w:color w:val="000000"/>
          <w:sz w:val="28"/>
          <w:szCs w:val="28"/>
          <w:u w:val="none"/>
        </w:rPr>
        <w:t xml:space="preserve"> + N</w:t>
      </w:r>
      <w:r>
        <w:rPr>
          <w:color w:val="000000"/>
          <w:sz w:val="28"/>
          <w:szCs w:val="28"/>
          <w:u w:val="none"/>
          <w:vertAlign w:val="superscript"/>
        </w:rPr>
        <w:t>ОС</w:t>
      </w:r>
      <w:r>
        <w:rPr>
          <w:color w:val="000000"/>
          <w:sz w:val="28"/>
          <w:szCs w:val="28"/>
          <w:u w:val="none"/>
        </w:rPr>
        <w:t xml:space="preserve"> + N</w:t>
      </w:r>
      <w:r>
        <w:rPr>
          <w:color w:val="000000"/>
          <w:sz w:val="28"/>
          <w:szCs w:val="28"/>
          <w:u w:val="none"/>
          <w:vertAlign w:val="superscript"/>
        </w:rPr>
        <w:t>МЗ</w:t>
      </w:r>
      <w:r>
        <w:rPr>
          <w:color w:val="000000"/>
          <w:sz w:val="28"/>
          <w:szCs w:val="28"/>
          <w:u w:val="none"/>
        </w:rPr>
        <w:t>, где</w:t>
      </w:r>
    </w:p>
    <w:p>
      <w:pPr>
        <w:pStyle w:val="Normal"/>
        <w:autoSpaceDE w:val="false"/>
        <w:jc w:val="both"/>
        <w:rPr>
          <w:color w:val="000000"/>
          <w:sz w:val="28"/>
          <w:szCs w:val="28"/>
          <w:u w:val="none"/>
        </w:rPr>
      </w:pPr>
      <w:r>
        <w:rPr>
          <w:color w:val="000000"/>
          <w:sz w:val="28"/>
          <w:szCs w:val="28"/>
          <w:u w:val="none"/>
        </w:rPr>
      </w:r>
    </w:p>
    <w:p>
      <w:pPr>
        <w:pStyle w:val="Normal"/>
        <w:autoSpaceDE w:val="false"/>
        <w:ind w:firstLine="720" w:right="0"/>
        <w:jc w:val="both"/>
        <w:rPr>
          <w:color w:val="000000"/>
          <w:u w:val="none"/>
        </w:rPr>
      </w:pPr>
      <w:r>
        <w:rPr>
          <w:color w:val="000000"/>
          <w:sz w:val="28"/>
          <w:szCs w:val="28"/>
          <w:u w:val="none"/>
        </w:rPr>
        <w:t>N</w:t>
      </w:r>
      <w:r>
        <w:rPr>
          <w:color w:val="000000"/>
          <w:sz w:val="28"/>
          <w:szCs w:val="28"/>
          <w:u w:val="none"/>
          <w:vertAlign w:val="superscript"/>
        </w:rPr>
        <w:t>ПР</w:t>
      </w:r>
      <w:r>
        <w:rPr>
          <w:color w:val="000000"/>
          <w:sz w:val="28"/>
          <w:szCs w:val="28"/>
          <w:u w:val="none"/>
        </w:rPr>
        <w:t xml:space="preserve"> – затраты на приобретение прочих работ (услуг);</w:t>
      </w:r>
    </w:p>
    <w:p>
      <w:pPr>
        <w:pStyle w:val="Normal"/>
        <w:autoSpaceDE w:val="false"/>
        <w:ind w:firstLine="720" w:right="0"/>
        <w:jc w:val="both"/>
        <w:rPr>
          <w:color w:val="000000"/>
          <w:u w:val="none"/>
        </w:rPr>
      </w:pPr>
      <w:r>
        <w:rPr>
          <w:color w:val="000000"/>
          <w:sz w:val="28"/>
          <w:szCs w:val="28"/>
          <w:u w:val="none"/>
        </w:rPr>
        <w:t>N</w:t>
      </w:r>
      <w:r>
        <w:rPr>
          <w:color w:val="000000"/>
          <w:sz w:val="28"/>
          <w:szCs w:val="28"/>
          <w:u w:val="none"/>
          <w:vertAlign w:val="superscript"/>
        </w:rPr>
        <w:t>ОЦ</w:t>
      </w:r>
      <w:r>
        <w:rPr>
          <w:color w:val="000000"/>
          <w:sz w:val="28"/>
          <w:szCs w:val="28"/>
          <w:u w:val="none"/>
        </w:rPr>
        <w:t xml:space="preserve"> – затраты на приобретение особо ценного движимого имущества;</w:t>
      </w:r>
    </w:p>
    <w:p>
      <w:pPr>
        <w:pStyle w:val="Normal"/>
        <w:autoSpaceDE w:val="false"/>
        <w:ind w:firstLine="720" w:right="0"/>
        <w:jc w:val="both"/>
        <w:rPr>
          <w:color w:val="000000"/>
          <w:u w:val="none"/>
        </w:rPr>
      </w:pPr>
      <w:r>
        <w:rPr>
          <w:color w:val="000000"/>
          <w:sz w:val="28"/>
          <w:szCs w:val="28"/>
          <w:u w:val="none"/>
        </w:rPr>
        <w:t>N</w:t>
      </w:r>
      <w:r>
        <w:rPr>
          <w:color w:val="000000"/>
          <w:sz w:val="28"/>
          <w:szCs w:val="28"/>
          <w:u w:val="none"/>
          <w:vertAlign w:val="superscript"/>
        </w:rPr>
        <w:t>ОС</w:t>
      </w:r>
      <w:r>
        <w:rPr>
          <w:color w:val="000000"/>
          <w:sz w:val="28"/>
          <w:szCs w:val="28"/>
          <w:u w:val="none"/>
        </w:rPr>
        <w:t xml:space="preserve"> – затраты на увеличение стоимости основных средств;</w:t>
      </w:r>
    </w:p>
    <w:p>
      <w:pPr>
        <w:pStyle w:val="Normal"/>
        <w:autoSpaceDE w:val="false"/>
        <w:ind w:firstLine="720" w:right="0"/>
        <w:jc w:val="both"/>
        <w:rPr>
          <w:color w:val="000000"/>
          <w:u w:val="none"/>
        </w:rPr>
      </w:pPr>
      <w:r>
        <w:rPr>
          <w:color w:val="000000"/>
          <w:sz w:val="28"/>
          <w:szCs w:val="28"/>
          <w:u w:val="none"/>
        </w:rPr>
        <w:t>N</w:t>
      </w:r>
      <w:r>
        <w:rPr>
          <w:color w:val="000000"/>
          <w:sz w:val="28"/>
          <w:szCs w:val="28"/>
          <w:u w:val="none"/>
          <w:vertAlign w:val="superscript"/>
        </w:rPr>
        <w:t>МЗ</w:t>
      </w:r>
      <w:r>
        <w:rPr>
          <w:color w:val="000000"/>
          <w:sz w:val="28"/>
          <w:szCs w:val="28"/>
          <w:u w:val="none"/>
        </w:rPr>
        <w:t xml:space="preserve"> – затраты на увеличение стоимости материальных запасов.</w:t>
      </w:r>
    </w:p>
    <w:p>
      <w:pPr>
        <w:pStyle w:val="Normal"/>
        <w:autoSpaceDE w:val="false"/>
        <w:ind w:firstLine="720" w:right="0"/>
        <w:jc w:val="both"/>
        <w:rPr/>
      </w:pPr>
      <w:r>
        <w:rPr>
          <w:color w:val="000000"/>
          <w:sz w:val="28"/>
          <w:szCs w:val="28"/>
          <w:u w:val="none"/>
        </w:rPr>
        <w:t xml:space="preserve">Стоимость прочих работ (услуг), особо ценного движимого имущества, основных средств и материальных запасов определяется в соответствии с положениями </w:t>
      </w:r>
      <w:hyperlink r:id="rId4">
        <w:r>
          <w:rPr>
            <w:rStyle w:val="Hyperlink"/>
            <w:color w:val="000000"/>
            <w:sz w:val="28"/>
            <w:szCs w:val="28"/>
            <w:u w:val="none"/>
          </w:rPr>
          <w:t>пункта 4.1</w:t>
        </w:r>
      </w:hyperlink>
      <w:r>
        <w:rPr>
          <w:color w:val="000000"/>
          <w:sz w:val="28"/>
          <w:szCs w:val="28"/>
          <w:u w:val="none"/>
        </w:rPr>
        <w:t xml:space="preserve"> настоящей Метод</w:t>
      </w:r>
      <w:r>
        <w:rPr>
          <w:sz w:val="28"/>
          <w:szCs w:val="28"/>
        </w:rPr>
        <w:t>ики.</w:t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  <w:szCs w:val="28"/>
        </w:rPr>
        <w:t>В составе затрат на приобретение прочих работ (услуг) (N</w:t>
      </w:r>
      <w:r>
        <w:rPr>
          <w:sz w:val="28"/>
          <w:szCs w:val="28"/>
          <w:vertAlign w:val="superscript"/>
        </w:rPr>
        <w:t>ПР</w:t>
      </w:r>
      <w:r>
        <w:rPr>
          <w:sz w:val="28"/>
          <w:szCs w:val="28"/>
        </w:rPr>
        <w:t>) учитываются следующие работы (услуги):</w:t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</w:rPr>
        <w:t>неисключительная лицензия на использование программного продукта</w:t>
      </w:r>
      <w:r>
        <w:rPr>
          <w:sz w:val="28"/>
          <w:szCs w:val="28"/>
        </w:rPr>
        <w:t>;</w:t>
        <w:tab/>
        <w:t>охрана;</w:t>
      </w:r>
    </w:p>
    <w:p>
      <w:pPr>
        <w:pStyle w:val="Normal"/>
        <w:autoSpaceDE w:val="false"/>
        <w:ind w:firstLine="720" w:right="0"/>
        <w:jc w:val="both"/>
        <w:rPr>
          <w:sz w:val="28"/>
          <w:szCs w:val="28"/>
        </w:rPr>
      </w:pPr>
      <w:r>
        <w:rPr>
          <w:sz w:val="28"/>
          <w:szCs w:val="28"/>
        </w:rPr>
        <w:t>услуги по реализации билетов;</w:t>
      </w:r>
    </w:p>
    <w:p>
      <w:pPr>
        <w:pStyle w:val="Normal"/>
        <w:autoSpaceDE w:val="false"/>
        <w:ind w:firstLine="720" w:right="0"/>
        <w:jc w:val="both"/>
        <w:rPr>
          <w:sz w:val="28"/>
          <w:szCs w:val="28"/>
        </w:rPr>
      </w:pPr>
      <w:r>
        <w:rPr>
          <w:sz w:val="28"/>
          <w:szCs w:val="28"/>
        </w:rPr>
        <w:t>авторское вознаграждение;</w:t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  <w:szCs w:val="28"/>
        </w:rPr>
        <w:t>поставка питьевой воды;</w:t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</w:rPr>
        <w:t>изготовление и размещение рекламных материалов;</w:t>
        <w:tab/>
        <w:tab/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</w:rPr>
        <w:t>создание графического дизайна макетов для полиграфической продукции;</w:t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</w:rPr>
        <w:t xml:space="preserve">фото- и видеосъемка </w:t>
        <w:tab/>
        <w:tab/>
        <w:tab/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</w:rPr>
        <w:t>оформление помещений для концертов.</w:t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  <w:szCs w:val="28"/>
        </w:rPr>
        <w:t>Затраты на приобретение прочих работ (услуг) (N</w:t>
      </w:r>
      <w:r>
        <w:rPr>
          <w:sz w:val="28"/>
          <w:szCs w:val="28"/>
          <w:vertAlign w:val="superscript"/>
        </w:rPr>
        <w:t>ПР</w:t>
      </w:r>
      <w:r>
        <w:rPr>
          <w:sz w:val="28"/>
          <w:szCs w:val="28"/>
        </w:rPr>
        <w:t>) рассчитываются по следующей формуле:</w:t>
      </w:r>
    </w:p>
    <w:p>
      <w:pPr>
        <w:pStyle w:val="Normal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autoSpaceDE w:val="false"/>
        <w:jc w:val="center"/>
        <w:rPr/>
      </w:pPr>
      <w:r>
        <w:rPr>
          <w:sz w:val="28"/>
          <w:szCs w:val="28"/>
        </w:rPr>
        <w:t>N</w:t>
      </w:r>
      <w:r>
        <w:rPr>
          <w:sz w:val="28"/>
          <w:szCs w:val="28"/>
          <w:vertAlign w:val="superscript"/>
        </w:rPr>
        <w:t>ПР</w:t>
      </w:r>
      <w:r>
        <w:rPr>
          <w:sz w:val="28"/>
          <w:szCs w:val="28"/>
        </w:rPr>
        <w:t xml:space="preserve"> = n</w:t>
      </w:r>
      <w:r>
        <w:rPr>
          <w:sz w:val="28"/>
          <w:szCs w:val="28"/>
          <w:vertAlign w:val="subscript"/>
        </w:rPr>
        <w:t>пр</w:t>
      </w:r>
      <w:r>
        <w:rPr>
          <w:sz w:val="28"/>
          <w:szCs w:val="28"/>
        </w:rPr>
        <w:t xml:space="preserve"> x R</w:t>
      </w:r>
      <w:r>
        <w:rPr>
          <w:sz w:val="28"/>
          <w:szCs w:val="28"/>
          <w:vertAlign w:val="subscript"/>
        </w:rPr>
        <w:t>пр</w:t>
      </w:r>
      <w:r>
        <w:rPr>
          <w:sz w:val="28"/>
          <w:szCs w:val="28"/>
        </w:rPr>
        <w:t xml:space="preserve"> x D</w:t>
      </w:r>
      <w:r>
        <w:rPr>
          <w:sz w:val="28"/>
          <w:szCs w:val="28"/>
          <w:vertAlign w:val="subscript"/>
        </w:rPr>
        <w:t>pd</w:t>
      </w:r>
      <w:r>
        <w:rPr>
          <w:sz w:val="28"/>
          <w:szCs w:val="28"/>
        </w:rPr>
        <w:t>, где</w:t>
      </w:r>
    </w:p>
    <w:p>
      <w:pPr>
        <w:pStyle w:val="Normal"/>
        <w:autoSpaceDE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пр</w:t>
      </w:r>
      <w:r>
        <w:rPr>
          <w:sz w:val="28"/>
          <w:szCs w:val="28"/>
        </w:rPr>
        <w:t xml:space="preserve"> – значение натуральной нормы потребления на приобретение прочих работ (услуг), рассчитанное как отношение количества единиц работ (услуг) на приобретение прочих работ (услуг) к среднему числу зрителей (человек);</w:t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>пр</w:t>
      </w:r>
      <w:r>
        <w:rPr>
          <w:sz w:val="28"/>
          <w:szCs w:val="28"/>
        </w:rPr>
        <w:t xml:space="preserve"> – цена (тариф) конкретного вида прочих работ (услуг), руб.</w:t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  <w:szCs w:val="28"/>
        </w:rPr>
        <w:t>Затраты на приобретение особо ценного движимого имущества (N</w:t>
      </w:r>
      <w:r>
        <w:rPr>
          <w:sz w:val="28"/>
          <w:szCs w:val="28"/>
          <w:vertAlign w:val="superscript"/>
        </w:rPr>
        <w:t>ОЦ</w:t>
      </w:r>
      <w:r>
        <w:rPr>
          <w:sz w:val="28"/>
          <w:szCs w:val="28"/>
        </w:rPr>
        <w:t>) рассчитываются по следующей формуле:</w:t>
      </w:r>
    </w:p>
    <w:p>
      <w:pPr>
        <w:pStyle w:val="Normal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autoSpaceDE w:val="false"/>
        <w:jc w:val="center"/>
        <w:rPr/>
      </w:pPr>
      <w:r>
        <w:rPr>
          <w:sz w:val="28"/>
          <w:szCs w:val="28"/>
        </w:rPr>
        <w:t>N</w:t>
      </w:r>
      <w:r>
        <w:rPr>
          <w:sz w:val="28"/>
          <w:szCs w:val="28"/>
          <w:vertAlign w:val="superscript"/>
        </w:rPr>
        <w:t>ОЦ</w:t>
      </w:r>
      <w:r>
        <w:rPr>
          <w:sz w:val="28"/>
          <w:szCs w:val="28"/>
        </w:rPr>
        <w:t xml:space="preserve"> = n</w:t>
      </w:r>
      <w:r>
        <w:rPr>
          <w:sz w:val="28"/>
          <w:szCs w:val="28"/>
          <w:vertAlign w:val="superscript"/>
        </w:rPr>
        <w:t>ОЦ</w:t>
      </w:r>
      <w:r>
        <w:rPr>
          <w:sz w:val="28"/>
          <w:szCs w:val="28"/>
        </w:rPr>
        <w:t xml:space="preserve"> x R</w:t>
      </w:r>
      <w:r>
        <w:rPr>
          <w:sz w:val="28"/>
          <w:szCs w:val="28"/>
          <w:vertAlign w:val="superscript"/>
        </w:rPr>
        <w:t>ОЦ</w:t>
      </w:r>
      <w:r>
        <w:rPr>
          <w:sz w:val="28"/>
          <w:szCs w:val="28"/>
        </w:rPr>
        <w:t xml:space="preserve"> / T</w:t>
      </w:r>
      <w:r>
        <w:rPr>
          <w:sz w:val="28"/>
          <w:szCs w:val="28"/>
          <w:vertAlign w:val="superscript"/>
        </w:rPr>
        <w:t>ОЦ</w:t>
      </w:r>
      <w:r>
        <w:rPr>
          <w:sz w:val="28"/>
          <w:szCs w:val="28"/>
        </w:rPr>
        <w:t xml:space="preserve"> x D</w:t>
      </w:r>
      <w:r>
        <w:rPr>
          <w:sz w:val="28"/>
          <w:szCs w:val="28"/>
          <w:vertAlign w:val="subscript"/>
        </w:rPr>
        <w:t>pd</w:t>
      </w:r>
      <w:r>
        <w:rPr>
          <w:sz w:val="28"/>
          <w:szCs w:val="28"/>
        </w:rPr>
        <w:t>, где</w:t>
      </w:r>
    </w:p>
    <w:p>
      <w:pPr>
        <w:pStyle w:val="Normal"/>
        <w:autoSpaceDE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  <w:szCs w:val="28"/>
        </w:rPr>
        <w:t>n</w:t>
      </w:r>
      <w:r>
        <w:rPr>
          <w:sz w:val="28"/>
          <w:szCs w:val="28"/>
          <w:vertAlign w:val="superscript"/>
        </w:rPr>
        <w:t>ОЦ</w:t>
      </w:r>
      <w:r>
        <w:rPr>
          <w:sz w:val="28"/>
          <w:szCs w:val="28"/>
        </w:rPr>
        <w:t xml:space="preserve"> – значение натуральной нормы по затратам на приобретение особо ценного движимого имущества, рассчитанное как отношение количества единиц особо ценного имущества к среднему числу зрителей (человек);</w:t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  <w:szCs w:val="28"/>
        </w:rPr>
        <w:t>R</w:t>
      </w:r>
      <w:r>
        <w:rPr>
          <w:sz w:val="28"/>
          <w:szCs w:val="28"/>
          <w:vertAlign w:val="superscript"/>
        </w:rPr>
        <w:t>ОЦ</w:t>
      </w:r>
      <w:r>
        <w:rPr>
          <w:sz w:val="28"/>
          <w:szCs w:val="28"/>
        </w:rPr>
        <w:t xml:space="preserve"> – стоимость особо ценного движимого имущества, руб.;</w:t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  <w:szCs w:val="28"/>
        </w:rPr>
        <w:t>T</w:t>
      </w:r>
      <w:r>
        <w:rPr>
          <w:sz w:val="28"/>
          <w:szCs w:val="28"/>
          <w:vertAlign w:val="superscript"/>
        </w:rPr>
        <w:t>ОЦ</w:t>
      </w:r>
      <w:r>
        <w:rPr>
          <w:sz w:val="28"/>
          <w:szCs w:val="28"/>
        </w:rPr>
        <w:t xml:space="preserve"> – срок полезного использования вида особо ценного движимого имущества.</w:t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  <w:szCs w:val="28"/>
        </w:rPr>
        <w:t>В составе затрат на приобретение особо ценного движимого имущества учитываются расходы на приобретение сценических костюмов и концертных балаек.</w:t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  <w:szCs w:val="28"/>
        </w:rPr>
        <w:t>Затраты на увеличение стоимости основных средств (N</w:t>
      </w:r>
      <w:r>
        <w:rPr>
          <w:sz w:val="28"/>
          <w:szCs w:val="28"/>
          <w:vertAlign w:val="superscript"/>
        </w:rPr>
        <w:t>ОС</w:t>
      </w:r>
      <w:r>
        <w:rPr>
          <w:sz w:val="28"/>
          <w:szCs w:val="28"/>
        </w:rPr>
        <w:t>) рассчитываются по следующей формуле:</w:t>
      </w:r>
    </w:p>
    <w:p>
      <w:pPr>
        <w:pStyle w:val="Normal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autoSpaceDE w:val="false"/>
        <w:jc w:val="center"/>
        <w:rPr/>
      </w:pPr>
      <w:r>
        <w:rPr>
          <w:sz w:val="28"/>
          <w:szCs w:val="28"/>
        </w:rPr>
        <w:t>N</w:t>
      </w:r>
      <w:r>
        <w:rPr>
          <w:sz w:val="28"/>
          <w:szCs w:val="28"/>
          <w:vertAlign w:val="superscript"/>
        </w:rPr>
        <w:t>ОС</w:t>
      </w:r>
      <w:r>
        <w:rPr>
          <w:sz w:val="28"/>
          <w:szCs w:val="28"/>
        </w:rPr>
        <w:t xml:space="preserve"> = n</w:t>
      </w:r>
      <w:r>
        <w:rPr>
          <w:sz w:val="28"/>
          <w:szCs w:val="28"/>
          <w:vertAlign w:val="subscript"/>
        </w:rPr>
        <w:t>ос</w:t>
      </w:r>
      <w:r>
        <w:rPr>
          <w:sz w:val="28"/>
          <w:szCs w:val="28"/>
        </w:rPr>
        <w:t xml:space="preserve"> x R</w:t>
      </w:r>
      <w:r>
        <w:rPr>
          <w:sz w:val="28"/>
          <w:szCs w:val="28"/>
          <w:vertAlign w:val="subscript"/>
        </w:rPr>
        <w:t>ос</w:t>
      </w:r>
      <w:r>
        <w:rPr>
          <w:sz w:val="28"/>
          <w:szCs w:val="28"/>
        </w:rPr>
        <w:t xml:space="preserve"> / T</w:t>
      </w:r>
      <w:r>
        <w:rPr>
          <w:sz w:val="28"/>
          <w:szCs w:val="28"/>
          <w:vertAlign w:val="subscript"/>
        </w:rPr>
        <w:t>ос</w:t>
      </w:r>
      <w:r>
        <w:rPr>
          <w:sz w:val="28"/>
          <w:szCs w:val="28"/>
        </w:rPr>
        <w:t xml:space="preserve"> x D</w:t>
      </w:r>
      <w:r>
        <w:rPr>
          <w:sz w:val="28"/>
          <w:szCs w:val="28"/>
          <w:vertAlign w:val="subscript"/>
        </w:rPr>
        <w:t>pd</w:t>
      </w:r>
      <w:r>
        <w:rPr>
          <w:sz w:val="28"/>
          <w:szCs w:val="28"/>
        </w:rPr>
        <w:t>, где</w:t>
      </w:r>
    </w:p>
    <w:p>
      <w:pPr>
        <w:pStyle w:val="Normal"/>
        <w:autoSpaceDE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ос</w:t>
      </w:r>
      <w:r>
        <w:rPr>
          <w:sz w:val="28"/>
          <w:szCs w:val="28"/>
        </w:rPr>
        <w:t xml:space="preserve"> – значение натуральной нормы по затратам на увеличение стоимости основных средств, рассчитанное как отношение количества единиц основных средств к среднему числу зрителей (человек);</w:t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>ос</w:t>
      </w:r>
      <w:r>
        <w:rPr>
          <w:sz w:val="28"/>
          <w:szCs w:val="28"/>
        </w:rPr>
        <w:t xml:space="preserve"> – стоимость основного средства, руб.;</w:t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  <w:szCs w:val="28"/>
        </w:rPr>
        <w:t>T</w:t>
      </w:r>
      <w:r>
        <w:rPr>
          <w:sz w:val="28"/>
          <w:szCs w:val="28"/>
          <w:vertAlign w:val="subscript"/>
        </w:rPr>
        <w:t>ос</w:t>
      </w:r>
      <w:r>
        <w:rPr>
          <w:sz w:val="28"/>
          <w:szCs w:val="28"/>
        </w:rPr>
        <w:t xml:space="preserve"> – срок полезного использования основного средства.</w:t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  <w:szCs w:val="28"/>
        </w:rPr>
        <w:t>В составе затрат на увеличение стоимости основных средств учитываются расходы на приобретение столов офисных, кресел офисных, шкафов офисных, шкафов гардеробных.</w:t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  <w:szCs w:val="28"/>
        </w:rPr>
        <w:t>Затраты на увеличение стоимости материальных запасов (N</w:t>
      </w:r>
      <w:r>
        <w:rPr>
          <w:sz w:val="28"/>
          <w:szCs w:val="28"/>
          <w:vertAlign w:val="superscript"/>
        </w:rPr>
        <w:t>МЗ</w:t>
      </w:r>
      <w:r>
        <w:rPr>
          <w:sz w:val="28"/>
          <w:szCs w:val="28"/>
        </w:rPr>
        <w:t>) рассчитываются по следующей формуле:</w:t>
      </w:r>
    </w:p>
    <w:p>
      <w:pPr>
        <w:pStyle w:val="Normal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autoSpaceDE w:val="false"/>
        <w:jc w:val="center"/>
        <w:rPr/>
      </w:pPr>
      <w:r>
        <w:rPr>
          <w:sz w:val="28"/>
          <w:szCs w:val="28"/>
        </w:rPr>
        <w:t>N</w:t>
      </w:r>
      <w:r>
        <w:rPr>
          <w:sz w:val="28"/>
          <w:szCs w:val="28"/>
          <w:vertAlign w:val="superscript"/>
        </w:rPr>
        <w:t>МЗ</w:t>
      </w:r>
      <w:r>
        <w:rPr>
          <w:sz w:val="28"/>
          <w:szCs w:val="28"/>
        </w:rPr>
        <w:t xml:space="preserve"> = n</w:t>
      </w:r>
      <w:r>
        <w:rPr>
          <w:sz w:val="28"/>
          <w:szCs w:val="28"/>
          <w:vertAlign w:val="subscript"/>
        </w:rPr>
        <w:t>бум/руч</w:t>
      </w:r>
      <w:r>
        <w:rPr>
          <w:sz w:val="28"/>
          <w:szCs w:val="28"/>
        </w:rPr>
        <w:t xml:space="preserve"> x R</w:t>
      </w:r>
      <w:r>
        <w:rPr>
          <w:sz w:val="28"/>
          <w:szCs w:val="28"/>
          <w:vertAlign w:val="subscript"/>
        </w:rPr>
        <w:t>бум/руч</w:t>
      </w:r>
      <w:r>
        <w:rPr>
          <w:sz w:val="28"/>
          <w:szCs w:val="28"/>
        </w:rPr>
        <w:t xml:space="preserve"> x D</w:t>
      </w:r>
      <w:r>
        <w:rPr>
          <w:sz w:val="28"/>
          <w:szCs w:val="28"/>
          <w:vertAlign w:val="subscript"/>
        </w:rPr>
        <w:t>pd</w:t>
      </w:r>
      <w:r>
        <w:rPr>
          <w:sz w:val="28"/>
          <w:szCs w:val="28"/>
        </w:rPr>
        <w:t>, где</w:t>
      </w:r>
    </w:p>
    <w:p>
      <w:pPr>
        <w:pStyle w:val="Normal"/>
        <w:autoSpaceDE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бум/руч</w:t>
      </w:r>
      <w:r>
        <w:rPr>
          <w:sz w:val="28"/>
          <w:szCs w:val="28"/>
        </w:rPr>
        <w:t xml:space="preserve"> – значение натуральной нормы по затратам на приобретение бумаги для офисной техники и ручек шариковых, рассчитанное как отношение количества единиц приобретаемого вида материального запаса к среднему числу зрителей (человек);</w:t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>бум/руч</w:t>
      </w:r>
      <w:r>
        <w:rPr>
          <w:sz w:val="28"/>
          <w:szCs w:val="28"/>
        </w:rPr>
        <w:t xml:space="preserve"> – стоимость приобретаемого вида материального запаса, руб.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вступает в силу с 01 января 2027 г., но не ранее дня официального обнародования посредством официального опубликования </w:t>
        <w:br/>
        <w:t>в печатном средстве массовой информации «Официальный бюллетень органов местного самоуправления муниципального образования город Пермь» и применяется при расчете объема финансового обеспечения выполнения муниципального задания, начиная с муниципального задания на 2027 год и плановый период 2028 и 2029 годов.</w:t>
      </w:r>
      <w:bookmarkStart w:id="9" w:name="_Hlk194053660"/>
      <w:bookmarkStart w:id="10" w:name="_Hlk76131702"/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>
      <w:pPr>
        <w:pStyle w:val="Normal"/>
        <w:ind w:firstLine="720"/>
        <w:jc w:val="both"/>
        <w:rPr/>
      </w:pPr>
      <w:r>
        <w:rPr>
          <w:sz w:val="28"/>
          <w:szCs w:val="28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gorodperm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».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за исполнением настоящего постановления возложить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на и.о. заместителя главы администрации города Перми Ершову О.С.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bookmarkEnd w:id="10"/>
    </w:p>
    <w:p>
      <w:pPr>
        <w:pStyle w:val="Normal"/>
        <w:tabs>
          <w:tab w:val="clear" w:pos="720"/>
          <w:tab w:val="right" w:pos="9921" w:leader="none"/>
        </w:tabs>
        <w:spacing w:lineRule="exact" w:line="240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Перми</w:t>
        <w:tab/>
        <w:t>Э.О. Соснин</w:t>
      </w:r>
      <w:bookmarkEnd w:id="9"/>
    </w:p>
    <w:p>
      <w:pPr>
        <w:pStyle w:val="Normal"/>
        <w:ind w:firstLine="720"/>
        <w:jc w:val="both"/>
        <w:rPr>
          <w:sz w:val="28"/>
          <w:szCs w:val="24"/>
        </w:rPr>
      </w:pPr>
      <w:r>
        <w:rPr>
          <w:sz w:val="28"/>
          <w:szCs w:val="24"/>
        </w:rPr>
      </w:r>
    </w:p>
    <w:p>
      <w:pPr>
        <w:pStyle w:val="Normal"/>
        <w:tabs>
          <w:tab w:val="clear" w:pos="720"/>
          <w:tab w:val="right" w:pos="9921" w:leader="none"/>
        </w:tabs>
        <w:spacing w:lineRule="exact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20"/>
          <w:tab w:val="right" w:pos="9921" w:leader="none"/>
        </w:tabs>
        <w:spacing w:lineRule="exact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type w:val="nextPage"/>
      <w:pgSz w:w="11906" w:h="16838"/>
      <w:pgMar w:left="1418" w:right="567" w:gutter="0" w:header="363" w:top="1134" w:footer="709" w:bottom="1134"/>
      <w:pgNumType w:start="1"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Segoe UI">
    <w:charset w:val="01"/>
    <w:family w:val="swiss"/>
    <w:pitch w:val="variable"/>
  </w:font>
  <w:font w:name="Courier New">
    <w:charset w:val="01"/>
    <w:family w:val="auto"/>
    <w:pitch w:val="variable"/>
  </w:font>
  <w:font w:name="Open Sans">
    <w:charset w:val="01"/>
    <w:family w:val="swiss"/>
    <w:pitch w:val="variable"/>
  </w:font>
  <w:font w:name="Calibri">
    <w:charset w:val="01"/>
    <w:family w:val="swiss"/>
    <w:pitch w:val="variable"/>
  </w:font>
  <w:font w:name="Tahoma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>
        <w:sz w:val="16"/>
      </w:rPr>
    </w:pPr>
    <w:r>
      <w:rPr>
        <w:sz w:val="16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36195" tIns="0" rIns="36195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.15pt;height:1.15pt;mso-wrap-distance-left:0pt;mso-wrap-distance-right:0pt;mso-wrap-distance-top:0pt;mso-wrap-distance-bottom:0pt;margin-top:0.05pt;mso-position-vertical-relative:text;margin-left:0.05pt;mso-position-horizontal:center;mso-position-horizontal-relative:margin">
              <v:textbox inset="0.0395833333333333in,0in,0.0395833333333333in,0in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</w:t>
    </w:r>
    <w:r>
      <w:rPr>
        <w:sz w:val="28"/>
        <w:szCs w:val="28"/>
      </w:rPr>
      <w:fldChar w:fldCharType="end"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93"/>
  <w:defaultTabStop w:val="720"/>
  <w:autoHyphenation w:val="true"/>
  <w:hyphenationZone w:val="360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WenQuanYi Zen Hei Sharp" w:cs="Droid Sans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eastAsia="Times New Roman" w:cs="Times New Roman" w:ascii="Times New Roman" w:hAnsi="Times New Roman"/>
      <w:color w:val="auto"/>
      <w:kern w:val="0"/>
      <w:sz w:val="20"/>
      <w:szCs w:val="20"/>
      <w:lang w:eastAsia="ru-RU" w:val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ind w:firstLine="709" w:right="-1"/>
      <w:jc w:val="both"/>
      <w:outlineLvl w:val="0"/>
    </w:pPr>
    <w:rPr>
      <w:sz w:val="24"/>
    </w:rPr>
  </w:style>
  <w:style w:type="paragraph" w:styleId="Heading2">
    <w:name w:val="heading 2"/>
    <w:basedOn w:val="Normal"/>
    <w:next w:val="Normal"/>
    <w:link w:val="2"/>
    <w:qFormat/>
    <w:pPr>
      <w:keepNext w:val="true"/>
      <w:ind w:right="-1"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ptionChar" w:customStyle="1">
    <w:name w:val="Caption Char"/>
    <w:basedOn w:val="DefaultParagraphFont"/>
    <w:uiPriority w:val="35"/>
    <w:qFormat/>
    <w:rPr>
      <w:b/>
      <w:bCs/>
      <w:color w:themeColor="accent1" w:val="4F81BD"/>
      <w:sz w:val="18"/>
      <w:szCs w:val="18"/>
    </w:rPr>
  </w:style>
  <w:style w:type="character" w:styleId="Heading1Char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uiPriority w:val="10"/>
    <w:qFormat/>
    <w:rPr>
      <w:sz w:val="48"/>
      <w:szCs w:val="48"/>
    </w:rPr>
  </w:style>
  <w:style w:type="character" w:styleId="SubtitleChar" w:customStyle="1">
    <w:name w:val="Subtitle Char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Style5" w:customStyle="1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Style6" w:customStyle="1">
    <w:name w:val="Символ концевой сноски"/>
    <w:uiPriority w:val="99"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yle7" w:customStyle="1">
    <w:name w:val="Текст выноски Знак"/>
    <w:link w:val="BalloonText"/>
    <w:qFormat/>
    <w:rPr>
      <w:rFonts w:ascii="Segoe UI" w:hAnsi="Segoe UI" w:cs="Segoe UI"/>
      <w:sz w:val="18"/>
      <w:szCs w:val="18"/>
    </w:rPr>
  </w:style>
  <w:style w:type="character" w:styleId="Style8" w:customStyle="1">
    <w:name w:val="Верхний колонтитул Знак"/>
    <w:uiPriority w:val="99"/>
    <w:qFormat/>
    <w:rPr/>
  </w:style>
  <w:style w:type="character" w:styleId="FollowedHyperlink">
    <w:name w:val="FollowedHyperlink"/>
    <w:uiPriority w:val="99"/>
    <w:unhideWhenUsed/>
    <w:rPr>
      <w:color w:val="800080"/>
      <w:u w:val="single"/>
    </w:rPr>
  </w:style>
  <w:style w:type="character" w:styleId="Style9" w:customStyle="1">
    <w:name w:val="Основной текст Знак"/>
    <w:qFormat/>
    <w:rPr>
      <w:rFonts w:ascii="Courier New" w:hAnsi="Courier New"/>
      <w:sz w:val="26"/>
    </w:rPr>
  </w:style>
  <w:style w:type="character" w:styleId="Style10" w:customStyle="1">
    <w:name w:val="Нижний колонтитул Знак"/>
    <w:qFormat/>
    <w:rPr/>
  </w:style>
  <w:style w:type="character" w:styleId="Style11" w:customStyle="1">
    <w:name w:val="Подпись Знак"/>
    <w:qFormat/>
    <w:rPr>
      <w:sz w:val="28"/>
    </w:rPr>
  </w:style>
  <w:style w:type="character" w:styleId="CommentReference">
    <w:name w:val="annotation reference"/>
    <w:qFormat/>
    <w:rPr>
      <w:sz w:val="16"/>
      <w:szCs w:val="16"/>
    </w:rPr>
  </w:style>
  <w:style w:type="character" w:styleId="Style12" w:customStyle="1">
    <w:name w:val="Текст примечания Знак"/>
    <w:basedOn w:val="DefaultParagraphFont"/>
    <w:qFormat/>
    <w:rPr/>
  </w:style>
  <w:style w:type="character" w:styleId="Style13" w:customStyle="1">
    <w:name w:val="Тема примечания Знак"/>
    <w:link w:val="annotationsubject"/>
    <w:qFormat/>
    <w:rPr>
      <w:b/>
      <w:bCs/>
    </w:rPr>
  </w:style>
  <w:style w:type="character" w:styleId="3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1" w:customStyle="1">
    <w:name w:val="Заголовок 1 Знак"/>
    <w:qFormat/>
    <w:rPr>
      <w:sz w:val="24"/>
    </w:rPr>
  </w:style>
  <w:style w:type="character" w:styleId="2" w:customStyle="1">
    <w:name w:val="Заголовок 2 Знак"/>
    <w:qFormat/>
    <w:rPr>
      <w:sz w:val="24"/>
    </w:rPr>
  </w:style>
  <w:style w:type="character" w:styleId="Style14" w:customStyle="1">
    <w:name w:val="Заголовок Знак"/>
    <w:uiPriority w:val="10"/>
    <w:qFormat/>
    <w:rPr>
      <w:sz w:val="48"/>
      <w:szCs w:val="48"/>
    </w:rPr>
  </w:style>
  <w:style w:type="character" w:styleId="Style15" w:customStyle="1">
    <w:name w:val="Подзаголовок Знак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16" w:customStyle="1">
    <w:name w:val="Выделенная цитата Знак"/>
    <w:link w:val="IntenseQuote"/>
    <w:uiPriority w:val="30"/>
    <w:qFormat/>
    <w:rPr>
      <w:i/>
      <w:shd w:fill="F2F2F2" w:val="clear"/>
    </w:rPr>
  </w:style>
  <w:style w:type="character" w:styleId="HeaderChar" w:customStyle="1">
    <w:name w:val="Header Char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Style17" w:customStyle="1">
    <w:name w:val="Название объекта Знак"/>
    <w:uiPriority w:val="99"/>
    <w:qFormat/>
    <w:rPr/>
  </w:style>
  <w:style w:type="character" w:styleId="Style18" w:customStyle="1">
    <w:name w:val="Текст сноски Знак"/>
    <w:uiPriority w:val="99"/>
    <w:qFormat/>
    <w:rPr>
      <w:sz w:val="18"/>
    </w:rPr>
  </w:style>
  <w:style w:type="character" w:styleId="Style19" w:customStyle="1">
    <w:name w:val="Текст концевой сноски Знак"/>
    <w:basedOn w:val="DefaultParagraphFont"/>
    <w:uiPriority w:val="99"/>
    <w:qFormat/>
    <w:rPr/>
  </w:style>
  <w:style w:type="character" w:styleId="Style20" w:customStyle="1">
    <w:name w:val="Основной текст с отступом Знак"/>
    <w:qFormat/>
    <w:rPr>
      <w:sz w:val="26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WenQuanYi Zen Hei Sharp" w:cs="Droid Sans"/>
      <w:sz w:val="28"/>
      <w:szCs w:val="28"/>
    </w:rPr>
  </w:style>
  <w:style w:type="paragraph" w:styleId="BodyText">
    <w:name w:val="Body Text"/>
    <w:basedOn w:val="Normal"/>
    <w:link w:val="Style9"/>
    <w:pPr>
      <w:ind w:right="3117"/>
    </w:pPr>
    <w:rPr>
      <w:rFonts w:ascii="Courier New" w:hAnsi="Courier New"/>
      <w:sz w:val="26"/>
    </w:rPr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next w:val="Normal"/>
    <w:link w:val="Style17"/>
    <w:qFormat/>
    <w:pPr>
      <w:widowControl w:val="false"/>
      <w:spacing w:lineRule="exact" w:line="360"/>
      <w:jc w:val="center"/>
    </w:pPr>
    <w:rPr>
      <w:b/>
      <w:sz w:val="32"/>
    </w:rPr>
  </w:style>
  <w:style w:type="paragraph" w:styleId="Style22">
    <w:name w:val="Указатель"/>
    <w:basedOn w:val="Normal"/>
    <w:qFormat/>
    <w:pPr>
      <w:suppressLineNumbers/>
    </w:pPr>
    <w:rPr>
      <w:rFonts w:cs="Droid Sans"/>
    </w:rPr>
  </w:style>
  <w:style w:type="paragraph" w:styleId="Title">
    <w:name w:val="Title"/>
    <w:basedOn w:val="Normal"/>
    <w:next w:val="BodyText"/>
    <w:link w:val="Style14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IndexHeading">
    <w:name w:val="index heading"/>
    <w:basedOn w:val="Title"/>
    <w:pPr/>
    <w:rPr/>
  </w:style>
  <w:style w:type="paragraph" w:styleId="ListParagraph">
    <w:name w:val="List Paragraph"/>
    <w:basedOn w:val="Normal"/>
    <w:uiPriority w:val="34"/>
    <w:qFormat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ubtitle">
    <w:name w:val="Subtitle"/>
    <w:basedOn w:val="Normal"/>
    <w:next w:val="Normal"/>
    <w:link w:val="Style15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1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Style8"/>
    <w:uiPriority w:val="99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link w:val="Style10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noteText">
    <w:name w:val="footnote text"/>
    <w:basedOn w:val="Normal"/>
    <w:link w:val="Style18"/>
    <w:uiPriority w:val="99"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19"/>
    <w:uiPriority w:val="99"/>
    <w:unhideWhenUsed/>
    <w:pPr/>
    <w:rPr/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eastAsia="Times New Roman" w:cs="Times New Roman" w:ascii="Times New Roman" w:hAnsi="Times New Roman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BodyTextIndent">
    <w:name w:val="Body Text Indent"/>
    <w:basedOn w:val="Normal"/>
    <w:link w:val="Style20"/>
    <w:pPr>
      <w:ind w:right="-1"/>
      <w:jc w:val="both"/>
    </w:pPr>
    <w:rPr>
      <w:sz w:val="26"/>
    </w:rPr>
  </w:style>
  <w:style w:type="paragraph" w:styleId="BalloonText">
    <w:name w:val="Balloon Text"/>
    <w:basedOn w:val="Normal"/>
    <w:link w:val="Style7"/>
    <w:qFormat/>
    <w:pPr/>
    <w:rPr>
      <w:rFonts w:ascii="Segoe UI" w:hAnsi="Segoe UI" w:cs="Segoe UI"/>
      <w:sz w:val="18"/>
      <w:szCs w:val="18"/>
    </w:rPr>
  </w:style>
  <w:style w:type="paragraph" w:styleId="xl65" w:customStyle="1">
    <w:name w:val="xl6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styleId="xl66" w:customStyle="1">
    <w:name w:val="xl6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styleId="xl67" w:customStyle="1">
    <w:name w:val="xl6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styleId="xl68" w:customStyle="1">
    <w:name w:val="xl6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  <w:szCs w:val="16"/>
    </w:rPr>
  </w:style>
  <w:style w:type="paragraph" w:styleId="xl69" w:customStyle="1">
    <w:name w:val="xl69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styleId="xl70" w:customStyle="1">
    <w:name w:val="xl7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  <w:szCs w:val="16"/>
    </w:rPr>
  </w:style>
  <w:style w:type="paragraph" w:styleId="xl71" w:customStyle="1">
    <w:name w:val="xl7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styleId="xl72" w:customStyle="1">
    <w:name w:val="xl7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styleId="xl73" w:customStyle="1">
    <w:name w:val="xl7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styleId="xl74" w:customStyle="1">
    <w:name w:val="xl7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styleId="xl75" w:customStyle="1">
    <w:name w:val="xl7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6"/>
      <w:szCs w:val="16"/>
    </w:rPr>
  </w:style>
  <w:style w:type="paragraph" w:styleId="xl76" w:customStyle="1">
    <w:name w:val="xl7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styleId="xl77" w:customStyle="1">
    <w:name w:val="xl77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styleId="xl78" w:customStyle="1">
    <w:name w:val="xl78"/>
    <w:basedOn w:val="Normal"/>
    <w:qFormat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styleId="xl79" w:customStyle="1">
    <w:name w:val="xl79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styleId="Style23" w:customStyle="1">
    <w:name w:val="Форма"/>
    <w:qFormat/>
    <w:pPr>
      <w:widowControl/>
      <w:suppressAutoHyphens w:val="true"/>
      <w:bidi w:val="0"/>
      <w:spacing w:before="0" w:after="0"/>
      <w:jc w:val="left"/>
    </w:pPr>
    <w:rPr>
      <w:rFonts w:eastAsia="Times New Roman" w:cs="Times New Roman" w:ascii="Times New Roman" w:hAnsi="Times New Roman"/>
      <w:color w:val="auto"/>
      <w:kern w:val="0"/>
      <w:sz w:val="28"/>
      <w:szCs w:val="28"/>
      <w:lang w:eastAsia="ru-RU" w:val="ru-RU" w:bidi="ar-SA"/>
    </w:rPr>
  </w:style>
  <w:style w:type="paragraph" w:styleId="ConsPlusNormal" w:customStyle="1">
    <w:name w:val="ConsPlusNormal"/>
    <w:qFormat/>
    <w:pPr>
      <w:widowControl/>
      <w:suppressAutoHyphens w:val="true"/>
      <w:bidi w:val="0"/>
      <w:spacing w:before="0" w:after="0"/>
      <w:jc w:val="left"/>
    </w:pPr>
    <w:rPr>
      <w:rFonts w:eastAsia="Times New Roman" w:cs="Times New Roman" w:ascii="Times New Roman" w:hAnsi="Times New Roman"/>
      <w:color w:val="auto"/>
      <w:kern w:val="0"/>
      <w:sz w:val="28"/>
      <w:szCs w:val="28"/>
      <w:lang w:eastAsia="ru-RU" w:val="ru-RU" w:bidi="ar-SA"/>
    </w:rPr>
  </w:style>
  <w:style w:type="paragraph" w:styleId="font5" w:customStyle="1">
    <w:name w:val="font5"/>
    <w:basedOn w:val="Normal"/>
    <w:qFormat/>
    <w:pPr>
      <w:spacing w:beforeAutospacing="1" w:afterAutospacing="1"/>
    </w:pPr>
    <w:rPr>
      <w:color w:val="000000"/>
      <w:sz w:val="28"/>
      <w:szCs w:val="28"/>
    </w:rPr>
  </w:style>
  <w:style w:type="paragraph" w:styleId="xl80" w:customStyle="1">
    <w:name w:val="xl80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styleId="xl81" w:customStyle="1">
    <w:name w:val="xl81"/>
    <w:basedOn w:val="Normal"/>
    <w:qFormat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styleId="xl82" w:customStyle="1">
    <w:name w:val="xl82"/>
    <w:basedOn w:val="Normal"/>
    <w:qFormat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styleId="xl83" w:customStyle="1">
    <w:name w:val="xl8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84" w:customStyle="1">
    <w:name w:val="xl8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85" w:customStyle="1">
    <w:name w:val="xl85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86" w:customStyle="1">
    <w:name w:val="xl86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87" w:customStyle="1">
    <w:name w:val="xl87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color w:val="000000"/>
      <w:sz w:val="28"/>
      <w:szCs w:val="28"/>
    </w:rPr>
  </w:style>
  <w:style w:type="paragraph" w:styleId="xl88" w:customStyle="1">
    <w:name w:val="xl8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color w:val="000000"/>
      <w:sz w:val="28"/>
      <w:szCs w:val="28"/>
    </w:rPr>
  </w:style>
  <w:style w:type="paragraph" w:styleId="xl89" w:customStyle="1">
    <w:name w:val="xl8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90" w:customStyle="1">
    <w:name w:val="xl9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91" w:customStyle="1">
    <w:name w:val="xl9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92" w:customStyle="1">
    <w:name w:val="xl92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color w:val="000000"/>
      <w:sz w:val="28"/>
      <w:szCs w:val="28"/>
    </w:rPr>
  </w:style>
  <w:style w:type="paragraph" w:styleId="xl93" w:customStyle="1">
    <w:name w:val="xl93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94" w:customStyle="1">
    <w:name w:val="xl94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95" w:customStyle="1">
    <w:name w:val="xl9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96" w:customStyle="1">
    <w:name w:val="xl9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97" w:customStyle="1">
    <w:name w:val="xl97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98" w:customStyle="1">
    <w:name w:val="xl9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8"/>
      <w:szCs w:val="28"/>
    </w:rPr>
  </w:style>
  <w:style w:type="paragraph" w:styleId="xl99" w:customStyle="1">
    <w:name w:val="xl9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</w:pPr>
    <w:rPr>
      <w:sz w:val="28"/>
      <w:szCs w:val="28"/>
    </w:rPr>
  </w:style>
  <w:style w:type="paragraph" w:styleId="xl100" w:customStyle="1">
    <w:name w:val="xl100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xl101" w:customStyle="1">
    <w:name w:val="xl10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xl102" w:customStyle="1">
    <w:name w:val="xl10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xl103" w:customStyle="1">
    <w:name w:val="xl10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xl104" w:customStyle="1">
    <w:name w:val="xl104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xl105" w:customStyle="1">
    <w:name w:val="xl10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xl106" w:customStyle="1">
    <w:name w:val="xl106"/>
    <w:basedOn w:val="Normal"/>
    <w:qFormat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xl107" w:customStyle="1">
    <w:name w:val="xl107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xl108" w:customStyle="1">
    <w:name w:val="xl10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xl109" w:customStyle="1">
    <w:name w:val="xl10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xl110" w:customStyle="1">
    <w:name w:val="xl11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xl111" w:customStyle="1">
    <w:name w:val="xl11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xl112" w:customStyle="1">
    <w:name w:val="xl112"/>
    <w:basedOn w:val="Normal"/>
    <w:qFormat/>
    <w:pPr>
      <w:shd w:val="clear" w:color="000000" w:fill="FFFFFF"/>
      <w:spacing w:beforeAutospacing="1" w:afterAutospacing="1"/>
    </w:pPr>
    <w:rPr>
      <w:sz w:val="24"/>
      <w:szCs w:val="24"/>
    </w:rPr>
  </w:style>
  <w:style w:type="paragraph" w:styleId="xl113" w:customStyle="1">
    <w:name w:val="xl11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xl114" w:customStyle="1">
    <w:name w:val="xl11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xl115" w:customStyle="1">
    <w:name w:val="xl11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color w:val="FF0000"/>
      <w:sz w:val="24"/>
      <w:szCs w:val="24"/>
    </w:rPr>
  </w:style>
  <w:style w:type="paragraph" w:styleId="xl116" w:customStyle="1">
    <w:name w:val="xl11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xl117" w:customStyle="1">
    <w:name w:val="xl117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sz w:val="24"/>
      <w:szCs w:val="24"/>
    </w:rPr>
  </w:style>
  <w:style w:type="paragraph" w:styleId="xl118" w:customStyle="1">
    <w:name w:val="xl118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styleId="xl119" w:customStyle="1">
    <w:name w:val="xl119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sz w:val="24"/>
      <w:szCs w:val="24"/>
    </w:rPr>
  </w:style>
  <w:style w:type="paragraph" w:styleId="xl120" w:customStyle="1">
    <w:name w:val="xl12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121" w:customStyle="1">
    <w:name w:val="xl121"/>
    <w:basedOn w:val="Normal"/>
    <w:qFormat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122" w:customStyle="1">
    <w:name w:val="xl122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123" w:customStyle="1">
    <w:name w:val="xl12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xl124" w:customStyle="1">
    <w:name w:val="xl124"/>
    <w:basedOn w:val="Normal"/>
    <w:qFormat/>
    <w:pPr>
      <w:pBdr>
        <w:top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xl125" w:customStyle="1">
    <w:name w:val="xl125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font6" w:customStyle="1">
    <w:name w:val="font6"/>
    <w:basedOn w:val="Normal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font7" w:customStyle="1">
    <w:name w:val="font7"/>
    <w:basedOn w:val="Normal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font8" w:customStyle="1">
    <w:name w:val="font8"/>
    <w:basedOn w:val="Normal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11" w:customStyle="1">
    <w:name w:val="Прощание1"/>
    <w:basedOn w:val="BodyText"/>
    <w:qFormat/>
    <w:pPr>
      <w:tabs>
        <w:tab w:val="clear" w:pos="720"/>
        <w:tab w:val="left" w:pos="1673" w:leader="none"/>
      </w:tabs>
      <w:spacing w:lineRule="exact" w:line="240" w:before="240" w:after="0"/>
      <w:ind w:hanging="1985" w:left="1985" w:right="0"/>
      <w:jc w:val="both"/>
    </w:pPr>
    <w:rPr>
      <w:rFonts w:ascii="Times New Roman" w:hAnsi="Times New Roman"/>
      <w:sz w:val="28"/>
    </w:rPr>
  </w:style>
  <w:style w:type="paragraph" w:styleId="Style24" w:customStyle="1">
    <w:name w:val="Подпись на  бланке должностного лица"/>
    <w:basedOn w:val="Normal"/>
    <w:next w:val="BodyText"/>
    <w:qFormat/>
    <w:pPr>
      <w:spacing w:lineRule="exact" w:line="240" w:before="480" w:after="0"/>
      <w:ind w:left="7088"/>
    </w:pPr>
    <w:rPr>
      <w:sz w:val="28"/>
    </w:rPr>
  </w:style>
  <w:style w:type="paragraph" w:styleId="Signature">
    <w:name w:val="Signature"/>
    <w:basedOn w:val="Normal"/>
    <w:next w:val="BodyText"/>
    <w:link w:val="Style11"/>
    <w:pPr>
      <w:tabs>
        <w:tab w:val="clear" w:pos="720"/>
        <w:tab w:val="left" w:pos="5103" w:leader="none"/>
        <w:tab w:val="right" w:pos="9639" w:leader="none"/>
      </w:tabs>
      <w:spacing w:lineRule="exact" w:line="240" w:before="480" w:after="0"/>
    </w:pPr>
    <w:rPr>
      <w:sz w:val="28"/>
    </w:rPr>
  </w:style>
  <w:style w:type="paragraph" w:styleId="CommentText">
    <w:name w:val="annotation text"/>
    <w:basedOn w:val="Normal"/>
    <w:link w:val="Style12"/>
    <w:pPr>
      <w:ind w:firstLine="720"/>
      <w:jc w:val="both"/>
    </w:pPr>
    <w:rPr/>
  </w:style>
  <w:style w:type="paragraph" w:styleId="annotationsubject">
    <w:name w:val="annotation subject"/>
    <w:basedOn w:val="CommentText"/>
    <w:next w:val="CommentText"/>
    <w:link w:val="Style13"/>
    <w:qFormat/>
    <w:pPr/>
    <w:rPr>
      <w:b/>
      <w:bCs/>
    </w:rPr>
  </w:style>
  <w:style w:type="paragraph" w:styleId="consplustitle" w:customStyle="1">
    <w:name w:val="consplustitle"/>
    <w:basedOn w:val="Normal"/>
    <w:qFormat/>
    <w:pPr>
      <w:spacing w:beforeAutospacing="1" w:afterAutospacing="1"/>
    </w:pPr>
    <w:rPr>
      <w:sz w:val="24"/>
      <w:szCs w:val="24"/>
    </w:rPr>
  </w:style>
  <w:style w:type="paragraph" w:styleId="Style25" w:customStyle="1">
    <w:name w:val="Содержимое врезки"/>
    <w:basedOn w:val="Normal"/>
    <w:qFormat/>
    <w:pPr/>
    <w:rPr/>
  </w:style>
  <w:style w:type="paragraph" w:styleId="Style26" w:customStyle="1">
    <w:name w:val="Верхний колонтитул слева"/>
    <w:basedOn w:val="Header"/>
    <w:qFormat/>
    <w:pPr/>
    <w:rPr/>
  </w:style>
  <w:style w:type="paragraph" w:styleId="Style2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8" w:customStyle="1">
    <w:name w:val="Заголовок таблицы"/>
    <w:basedOn w:val="Style27"/>
    <w:qFormat/>
    <w:pPr>
      <w:jc w:val="center"/>
    </w:pPr>
    <w:rPr>
      <w:b/>
      <w:bCs/>
    </w:rPr>
  </w:style>
  <w:style w:type="numbering" w:styleId="Style29" w:customStyle="1">
    <w:name w:val="Без списка"/>
    <w:uiPriority w:val="99"/>
    <w:semiHidden/>
    <w:unhideWhenUsed/>
    <w:qFormat/>
  </w:style>
  <w:style w:type="numbering" w:styleId="12" w:customStyle="1">
    <w:name w:val="Нет списка1"/>
    <w:uiPriority w:val="99"/>
    <w:semiHidden/>
    <w:unhideWhenUsed/>
    <w:qFormat/>
  </w:style>
  <w:style w:type="numbering" w:styleId="111" w:customStyle="1">
    <w:name w:val="Нет списка11"/>
    <w:uiPriority w:val="99"/>
    <w:semiHidden/>
    <w:unhideWhenUsed/>
    <w:qFormat/>
  </w:style>
  <w:style w:type="numbering" w:styleId="1111" w:customStyle="1">
    <w:name w:val="Нет списка111"/>
    <w:uiPriority w:val="99"/>
    <w:semiHidden/>
    <w:unhideWhenUsed/>
    <w:qFormat/>
  </w:style>
  <w:style w:type="numbering" w:styleId="22" w:customStyle="1">
    <w:name w:val="Нет списка2"/>
    <w:uiPriority w:val="99"/>
    <w:semiHidden/>
    <w:unhideWhenUsed/>
    <w:qFormat/>
  </w:style>
  <w:style w:type="numbering" w:styleId="31" w:customStyle="1">
    <w:name w:val="Нет списка3"/>
    <w:uiPriority w:val="99"/>
    <w:semiHidden/>
    <w:unhideWhenUsed/>
    <w:qFormat/>
  </w:style>
  <w:style w:type="numbering" w:styleId="41" w:customStyle="1">
    <w:name w:val="Нет списка4"/>
    <w:uiPriority w:val="99"/>
    <w:semiHidden/>
    <w:unhideWhenUsed/>
    <w:qFormat/>
  </w:style>
  <w:style w:type="numbering" w:styleId="51" w:customStyle="1">
    <w:name w:val="Нет списка5"/>
    <w:semiHidden/>
    <w:qFormat/>
  </w:style>
  <w:style w:type="numbering" w:styleId="61" w:customStyle="1">
    <w:name w:val="Нет списка6"/>
    <w:semiHidden/>
    <w:unhideWhenUsed/>
    <w:qFormat/>
  </w:style>
  <w:style w:type="numbering" w:styleId="121" w:customStyle="1">
    <w:name w:val="Нет списка12"/>
    <w:semiHidden/>
    <w:qFormat/>
  </w:style>
  <w:style w:type="numbering" w:styleId="71" w:customStyle="1">
    <w:name w:val="Нет списка7"/>
    <w:semiHidden/>
    <w:qFormat/>
  </w:style>
  <w:style w:type="numbering" w:styleId="13" w:customStyle="1">
    <w:name w:val="Нет списка13"/>
    <w:semiHidden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4">
    <w:name w:val="Table Grid"/>
    <w:basedOn w:val="a1"/>
    <w:uiPriority w:val="59"/>
    <w:rPr>
      <w:lang w:eastAsia="en-US"/>
      <w:sz w:val="22"/>
      <w:szCs w:val="22"/>
    </w:rPr>
  </w:style>
  <w:style w:type="table" w:styleId="14">
    <w:name w:val="Plain Table 1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25">
    <w:name w:val="Plain Table 2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33">
    <w:name w:val="Plain Table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43">
    <w:name w:val="Plain Table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53">
    <w:name w:val="Plain Table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0-19">
    <w:name w:val="Табличка 0-19"/>
    <w:basedOn w:val="a1"/>
    <w:rPr>
      <w:sz w:val="24"/>
    </w:rPr>
  </w:style>
  <w:style w:type="table" w:customStyle="1" w:styleId="TableGridLight">
    <w:name w:val="Table Grid Light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login.consultant.ru/link/?req=doc&amp;base=RLAW368&amp;n=199914&amp;dst=100017" TargetMode="External"/><Relationship Id="rId4" Type="http://schemas.openxmlformats.org/officeDocument/2006/relationships/hyperlink" Target="https://login.consultant.ru/link/?req=doc&amp;base=RLAW368&amp;n=199914&amp;dst=8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Application>LibreOffice/24.8.4.1$Linux_X86_64 LibreOffice_project/480$Build-1</Application>
  <AppVersion>15.0000</AppVersion>
  <Pages>5</Pages>
  <Words>1109</Words>
  <Characters>7449</Characters>
  <CharactersWithSpaces>8559</CharactersWithSpaces>
  <Paragraphs>81</Paragraphs>
  <Company>Администрация г. Перми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2026-08-06T11:21:00Z</dcterms:created>
  <dc:creator>Сергей</dc:creator>
  <dc:description/>
  <dc:language>ru-RU</dc:language>
  <cp:lastModifiedBy/>
  <dcterms:modified xsi:type="dcterms:W3CDTF">2026-09-10T17:06:54Z</dcterms:modified>
  <cp:revision>22</cp:revision>
  <dc:subject/>
  <dc:title> </dc:title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