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1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-52070</wp:posOffset>
                </wp:positionV>
                <wp:extent cx="6285960" cy="1166460"/>
                <wp:effectExtent l="0" t="0" r="0" b="0"/>
                <wp:wrapNone/>
                <wp:docPr id="2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960" cy="1166459"/>
                          <a:chOff x="0" y="0"/>
                          <a:chExt cx="6285960" cy="1166459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 flipH="0" flipV="0">
                            <a:off x="0" y="0"/>
                            <a:ext cx="6285960" cy="11632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  <a:miter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915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lIns="36000" tIns="36000" rIns="36000" bIns="36000" anchor="t"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258480" y="855419"/>
                            <a:ext cx="1535400" cy="307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/>
                        </wps:style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anchor="t">
                          <a:noAutofit/>
                        </wps:bodyPr>
                      </wps:wsp>
                      <wps:wsp>
                        <wps:cNvPr id="2" name=""/>
                        <wps:cNvSpPr/>
                        <wps:spPr bwMode="auto">
                          <a:xfrm>
                            <a:off x="4941000" y="858659"/>
                            <a:ext cx="1085040" cy="307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/>
                        </wps:style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2;o:allowoverlap:true;o:allowincell:true;mso-position-horizontal-relative:text;margin-left:0.60pt;mso-position-horizontal:absolute;mso-position-vertical-relative:text;margin-top:-4.10pt;mso-position-vertical:absolute;width:494.96pt;height:91.85pt;mso-wrap-distance-left:0.00pt;mso-wrap-distance-top:0.00pt;mso-wrap-distance-right:0.00pt;mso-wrap-distance-bottom:0.00pt;" coordorigin="0,0" coordsize="62859,11664">
                <v:shape id="shape 2" o:spid="_x0000_s2" o:spt="1" type="#_x0000_t1" style="position:absolute;left:0;top:0;width:62859;height:11632;v-text-anchor:top;visibility:visible;" fillcolor="#FFFFFF" stroked="f" strokeweight="0.00pt">
                  <v:textbox inset="0,0,0,0">
                    <w:txbxContent>
                      <w:p>
                        <w:pPr>
                          <w:pStyle w:val="915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3" o:spid="_x0000_s3" o:spt="1" type="#_x0000_t1" style="position:absolute;left:2584;top:8554;width:15354;height:3078;v-text-anchor:top;visibility:visible;" filled="f" stroked="f" strokeweight="0.00pt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1" type="#_x0000_t1" style="position:absolute;left:49410;top:8586;width:10850;height:3078;v-text-anchor:top;visibility:visible;" fillcolor="#FFFFFF" stroked="f" strokeweight="0.00pt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7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-547370</wp:posOffset>
                </wp:positionV>
                <wp:extent cx="407035" cy="495300"/>
                <wp:effectExtent l="0" t="0" r="0" b="0"/>
                <wp:wrapNone/>
                <wp:docPr id="3" name="Рисунок 102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Рисунок 1026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position:absolute;z-index:7;o:allowoverlap:true;o:allowincell:true;mso-position-horizontal-relative:text;margin-left:232.35pt;mso-position-horizontal:absolute;mso-position-vertical-relative:text;margin-top:-43.10pt;mso-position-vertical:absolute;width:32.05pt;height:39.00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1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1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spacing w:line="240" w:lineRule="exact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spacing w:line="240" w:lineRule="exact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Порядка </w:t>
      </w:r>
      <w:r>
        <w:rPr>
          <w:b/>
          <w:sz w:val="28"/>
          <w:szCs w:val="28"/>
        </w:rPr>
        <w:t xml:space="preserve">определения объема и условий </w:t>
      </w:r>
      <w:r>
        <w:rPr>
          <w:b/>
          <w:sz w:val="28"/>
          <w:szCs w:val="28"/>
        </w:rPr>
        <w:t xml:space="preserve">предоставления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субсидий </w:t>
      </w:r>
      <w:r>
        <w:rPr>
          <w:b/>
          <w:sz w:val="28"/>
          <w:szCs w:val="28"/>
        </w:rPr>
        <w:t xml:space="preserve">на иные цели муниципальному </w:t>
      </w:r>
      <w:r>
        <w:rPr>
          <w:b/>
          <w:sz w:val="28"/>
          <w:szCs w:val="28"/>
        </w:rPr>
        <w:t xml:space="preserve">бюджетному учреждению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  <w:t xml:space="preserve">города Перми «Горсвет», </w:t>
      </w:r>
      <w:r>
        <w:rPr>
          <w:b/>
          <w:sz w:val="28"/>
          <w:szCs w:val="28"/>
        </w:rPr>
        <w:t xml:space="preserve">подведомственному департаменту </w:t>
      </w:r>
      <w:r>
        <w:rPr>
          <w:b/>
          <w:sz w:val="28"/>
          <w:szCs w:val="28"/>
        </w:rPr>
        <w:t xml:space="preserve">дорог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и благоустройства </w:t>
      </w:r>
      <w:r>
        <w:rPr>
          <w:b/>
          <w:sz w:val="28"/>
          <w:szCs w:val="28"/>
        </w:rPr>
        <w:t xml:space="preserve">администрации города Перми, </w:t>
      </w:r>
      <w:r>
        <w:rPr>
          <w:b/>
          <w:sz w:val="28"/>
          <w:szCs w:val="28"/>
        </w:rPr>
        <w:t xml:space="preserve">на выполнение работ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  <w:highlight w:val="none"/>
        </w:rPr>
        <w:t xml:space="preserve">обустройству (размещению) архитектурной подсветки на опорах </w:t>
        <w:br/>
        <w:t xml:space="preserve">наружного освещения на территории города Перми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left"/>
        <w:spacing w:line="240" w:lineRule="exact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both"/>
        <w:spacing w:line="240" w:lineRule="auto"/>
        <w:shd w:val="clear" w:color="ffffff" w:themeColor="background1" w:fill="ffffff" w:themeFill="background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auto"/>
        <w:shd w:val="clear" w:color="ffffff" w:themeColor="background1" w:fill="ffffff" w:themeFill="background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hd w:val="clear" w:color="ffffff" w:themeColor="background1" w:fill="ffffff" w:themeFill="background1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абзацем вторым пункта 1 статьи 78.1 Бюджетного кодекса Российской Федерации, постановлением Правительства Российской Федерации </w:t>
      </w:r>
      <w:r>
        <w:rPr>
          <w:sz w:val="28"/>
          <w:szCs w:val="28"/>
        </w:rPr>
        <w:br/>
        <w:t xml:space="preserve">от 22 февраля 2020 г. № 203 «Об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цели»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hd w:val="clear" w:color="ffffff" w:themeColor="background1" w:fill="ffffff" w:themeFill="background1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ПОСТАНОВЛЯЕТ: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hd w:val="clear" w:color="ffffff" w:themeColor="background1" w:fill="ffffff" w:themeFill="background1"/>
        <w:rPr>
          <w:sz w:val="28"/>
          <w:szCs w:val="28"/>
        </w:rPr>
      </w:pPr>
      <w:r>
        <w:rPr>
          <w:sz w:val="28"/>
          <w:szCs w:val="28"/>
        </w:rPr>
        <w:t xml:space="preserve">1. Утвердить прилагаемый Порядок определения объема и условий предоставления субсидий на иные цели муниципальному бюджетному учреждению города Перми «Горсвет», подведомственному департаменту дорог </w:t>
      </w:r>
      <w:r>
        <w:rPr>
          <w:sz w:val="28"/>
          <w:szCs w:val="28"/>
        </w:rPr>
        <w:t xml:space="preserve">и благоустройства администрации города Перми, на выполнение работ по обустройству (размещению) архитектурной подсветки на опорах наружного освещения на территории города Перми.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Управлению по общим вопро</w:t>
      </w:r>
      <w:r>
        <w:rPr>
          <w:sz w:val="28"/>
          <w:szCs w:val="28"/>
        </w:rPr>
        <w:t xml:space="preserve">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Контроль за исполнением настоящего постановления возложить </w:t>
      </w:r>
      <w:r>
        <w:rPr>
          <w:sz w:val="28"/>
          <w:szCs w:val="28"/>
        </w:rPr>
        <w:br/>
        <w:t xml:space="preserve">на заместителя главы администрации города Перми Галиханова Д.К.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tabs>
          <w:tab w:val="right" w:pos="9780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Глава города Перми</w:t>
      </w:r>
      <w:r>
        <w:rPr>
          <w:sz w:val="28"/>
          <w:szCs w:val="28"/>
        </w:rPr>
        <w:tab/>
        <w:t xml:space="preserve">Э.О. Соснин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5670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УТВЕРЖДЕН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spacing w:line="240" w:lineRule="exact"/>
        <w:rPr>
          <w:sz w:val="28"/>
          <w:szCs w:val="28"/>
        </w:rPr>
        <w:outlineLvl w:val="1"/>
      </w:pPr>
      <w:r/>
      <w:bookmarkStart w:id="0" w:name="undefined"/>
      <w:r/>
      <w:bookmarkEnd w:id="0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color w:val="000000"/>
          <w:sz w:val="28"/>
          <w:szCs w:val="28"/>
        </w:rPr>
      </w:pPr>
      <w:r/>
      <w:bookmarkStart w:id="1" w:name="undefined_Копия_1"/>
      <w:r/>
      <w:bookmarkEnd w:id="1"/>
      <w:r>
        <w:rPr>
          <w:b/>
          <w:color w:val="000000"/>
          <w:sz w:val="28"/>
          <w:szCs w:val="28"/>
        </w:rPr>
        <w:t xml:space="preserve">ПОРЯДОК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jc w:val="center"/>
        <w:spacing w:line="240" w:lineRule="exac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определения объема и условий предоставления субсидий на иные цели 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jc w:val="center"/>
        <w:spacing w:line="240" w:lineRule="exac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муниципальному бюджетному учреждению города Перми «Горсвет», 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jc w:val="center"/>
        <w:spacing w:line="240" w:lineRule="exac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подведомственному департаменту дорог и благоустройства 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jc w:val="center"/>
        <w:spacing w:line="240" w:lineRule="exact"/>
        <w:shd w:val="clear" w:color="ffffff" w:themeColor="background1" w:fill="ffffff" w:themeFill="background1"/>
        <w:rPr>
          <w:b/>
          <w:bCs/>
          <w:color w:val="000000"/>
          <w:sz w:val="28"/>
          <w:szCs w:val="28"/>
          <w:highlight w:val="none"/>
        </w:rPr>
      </w:pPr>
      <w:r>
        <w:rPr>
          <w:b/>
          <w:color w:val="000000"/>
          <w:sz w:val="28"/>
          <w:szCs w:val="28"/>
        </w:rPr>
        <w:t xml:space="preserve">администрации города Перми, на выполнение работ по </w:t>
      </w:r>
      <w:r>
        <w:rPr>
          <w:b/>
          <w:color w:val="000000"/>
          <w:sz w:val="28"/>
          <w:szCs w:val="28"/>
        </w:rPr>
        <w:t xml:space="preserve">обустройству </w:t>
        <w:br/>
        <w:t xml:space="preserve">(размещению) архитектурной подсветки на опорах наружного</w:t>
        <w:br/>
        <w:t xml:space="preserve">освещения на территории города Перми</w:t>
      </w:r>
      <w:r>
        <w:rPr>
          <w:b/>
          <w:bCs/>
          <w:color w:val="000000"/>
          <w:sz w:val="28"/>
          <w:szCs w:val="28"/>
          <w:highlight w:val="none"/>
        </w:rPr>
      </w:r>
      <w:r>
        <w:rPr>
          <w:b/>
          <w:bCs/>
          <w:color w:val="000000"/>
          <w:sz w:val="28"/>
          <w:szCs w:val="28"/>
          <w:highlight w:val="none"/>
        </w:rPr>
      </w:r>
    </w:p>
    <w:p>
      <w:pPr>
        <w:jc w:val="center"/>
        <w:spacing w:line="240" w:lineRule="exac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jc w:val="center"/>
        <w:spacing w:line="240" w:lineRule="exact"/>
        <w:rPr>
          <w:b/>
          <w:bCs/>
          <w:color w:val="000000"/>
          <w:sz w:val="28"/>
          <w:szCs w:val="28"/>
          <w:highlight w:val="none"/>
        </w:rPr>
      </w:pPr>
      <w:r>
        <w:rPr>
          <w:b/>
          <w:color w:val="000000"/>
          <w:sz w:val="28"/>
          <w:szCs w:val="28"/>
        </w:rPr>
        <w:t xml:space="preserve">I. Общие положения о предоставлении субсидий</w:t>
      </w:r>
      <w:r>
        <w:rPr>
          <w:b/>
          <w:bCs/>
          <w:color w:val="000000"/>
          <w:sz w:val="28"/>
          <w:szCs w:val="28"/>
          <w:highlight w:val="none"/>
        </w:rPr>
      </w:r>
      <w:r>
        <w:rPr>
          <w:b/>
          <w:bCs/>
          <w:color w:val="000000"/>
          <w:sz w:val="28"/>
          <w:szCs w:val="28"/>
          <w:highlight w:val="none"/>
        </w:rPr>
      </w:r>
    </w:p>
    <w:p>
      <w:pPr>
        <w:jc w:val="center"/>
        <w:spacing w:line="240" w:lineRule="exact"/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highlight w:val="none"/>
        </w:rPr>
      </w: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1.1. Настоящий Порядок определ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ения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объема и услови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й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предоставления субсидий на иные цели муниципальному бюджетному учреждению города Перми </w:t>
        <w:br/>
        <w:t xml:space="preserve">«Горсвет», подведомственному департаменту дорог и благоустройства администрации города Перми, на 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выполнение работ 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по обустройству (размещению) архитектурной подсветки на опорах наружного освещения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на территории города Перми 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(далее – Порядок) определяет объем и условия предоставления субсидий на иные цели на выполнение работ по обустройству (размещению) архитектурной подсветки на опорах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наружного освещения на территории города Перми 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(далее – 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су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бсидии на иные цели) муниципальному бюджетному учреждению города Перми «Горсвет» (далее – Учреждение), в отношении которого департамент дорог и благоустройства администрации города Перми (далее – Департамент) осуществляет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 функции и полномочия учредителя.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1.2. Целью предоставления субсидий на иные цели является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выполнение </w:t>
        <w:br/>
        <w:t xml:space="preserve">работ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по обустройству (размещению) архитектурной подсветки на опорах наружного освещения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 на территории города Перми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в рамках выполнения муниципальной программы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«Дорожная деятельность и благоустройство города Перми»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. 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1.3. Субсид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ии н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а иные цели предоставляются Учреждению в пределах </w:t>
        <w:br/>
        <w:t xml:space="preserve">бюджетных ассигнований, утвержденных решением Пермской городской Думы </w:t>
        <w:br/>
        <w:t xml:space="preserve">о бюджете города Перми на соответствующий финансовый год и плановый </w:t>
        <w:br/>
        <w:t xml:space="preserve">период, в рамках выполнения мероприятий муниципальной программы </w:t>
        <w:br/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«Дорожная деятельность и благоустройство города Перми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»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.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</w:r>
    </w:p>
    <w:p>
      <w:pPr>
        <w:ind w:firstLine="567"/>
        <w:jc w:val="center"/>
        <w:spacing w:after="0" w:line="238" w:lineRule="exact"/>
        <w:rPr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II. Условия и порядок предоставления субсидий на иные цели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i w:val="0"/>
          <w:iCs w:val="0"/>
          <w:sz w:val="28"/>
          <w:szCs w:val="28"/>
        </w:rPr>
        <w:suppressLineNumbers w:val="0"/>
      </w:pPr>
      <w:r>
        <w:rPr>
          <w:i w:val="0"/>
          <w:iCs w:val="0"/>
        </w:rPr>
      </w:r>
      <w:bookmarkStart w:id="0" w:name="undefined"/>
      <w:r>
        <w:rPr>
          <w:i w:val="0"/>
          <w:iCs w:val="0"/>
        </w:rPr>
      </w:r>
      <w:bookmarkEnd w:id="0"/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2.1. Для получения субсидий на иные цели на 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соответствующий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финансовый год и плановый период Учреждение направляет в Департамент: 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пояснительную записку, содержащую обоснование необходимости предоставления субсидий на иные цели, включая </w:t>
      </w:r>
      <w:hyperlink w:tooltip="#p112" w:anchor="p112" w:history="1">
        <w:r>
          <w:rPr>
            <w:rStyle w:val="908"/>
            <w:rFonts w:ascii="Times New Roman" w:hAnsi="Times New Roman" w:cs="Times New Roman"/>
            <w:i w:val="0"/>
            <w:iCs w:val="0"/>
            <w:color w:val="auto"/>
            <w:sz w:val="28"/>
            <w:szCs w:val="28"/>
            <w:u w:val="none"/>
          </w:rPr>
          <w:t xml:space="preserve">расчет-обоснование</w:t>
        </w:r>
      </w:hyperlink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суммы субсидий на иные цели согласно приложению к настоящему Порядку;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t xml:space="preserve">сметы, коммерческие предложения.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Затраты в субсидии на иные цели формируется исходя из необходимости проведения одного или нескольких видов работ (оказания услуг):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проведение проектно-изыскательских работ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; 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выполнение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монтажных работ в рамках обустройства (размещения) архитектурной подсветки на опорах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 наружного освещения. 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При необходимости изменения (перераспределения) утвержденных объемов субсидий на иные цели в течение текущего года Учреждение направляет </w:t>
        <w:br/>
        <w:t xml:space="preserve">в Департамент дополнительный </w:t>
      </w:r>
      <w:hyperlink w:tooltip="#p112" w:anchor="p112" w:history="1">
        <w:r>
          <w:rPr>
            <w:rStyle w:val="908"/>
            <w:rFonts w:ascii="Times New Roman" w:hAnsi="Times New Roman" w:cs="Times New Roman"/>
            <w:i w:val="0"/>
            <w:iCs w:val="0"/>
            <w:color w:val="auto"/>
            <w:sz w:val="28"/>
            <w:szCs w:val="28"/>
            <w:u w:val="none"/>
          </w:rPr>
          <w:t xml:space="preserve">расчет-обоснование</w:t>
        </w:r>
      </w:hyperlink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суммы субсидий на иные цели согласно приложению к настоящему Порядку в срок до 20 числа текущего месяца, Перечень объе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ктов, проектно-сметную документацию (при наличии) или предварительную смету расходов на выполнение соответствующих видов работ, предложения подрядчиков (исполнителей), заключенные контракты (договоры) на поставку товаров, выполнение работ, оказание услуг.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На основании представленных Учреждением сведений Департамент принимает меры по уточнению объемов субсидий на иные цели.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2.2. Рассмотрение и проверка документов на полноту их представления </w:t>
        <w:br/>
        <w:t xml:space="preserve">в соответствии с </w:t>
      </w:r>
      <w:hyperlink w:tooltip="#p20" w:anchor="p20" w:history="1">
        <w:r>
          <w:rPr>
            <w:rStyle w:val="908"/>
            <w:rFonts w:ascii="Times New Roman" w:hAnsi="Times New Roman" w:cs="Times New Roman"/>
            <w:i w:val="0"/>
            <w:iCs w:val="0"/>
            <w:color w:val="auto"/>
            <w:sz w:val="28"/>
            <w:szCs w:val="28"/>
            <w:u w:val="none"/>
          </w:rPr>
          <w:t xml:space="preserve">пунктом 2.1</w:t>
        </w:r>
      </w:hyperlink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настоящего Порядка осуществляется Департаментом в течение 10 рабочих дней со дня их представления.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i w:val="0"/>
          <w:iCs w:val="0"/>
        </w:rPr>
      </w:r>
      <w:bookmarkStart w:id="0" w:name="undefined"/>
      <w:r>
        <w:rPr>
          <w:i w:val="0"/>
          <w:iCs w:val="0"/>
        </w:rPr>
      </w:r>
      <w:bookmarkEnd w:id="0"/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2.3. Требования, которым Учреждение должно соответствовать на дату </w:t>
        <w:br/>
        <w:t xml:space="preserve">подачи документов, указанных в </w:t>
      </w:r>
      <w:hyperlink w:tooltip="#p20" w:anchor="p20" w:history="1">
        <w:r>
          <w:rPr>
            <w:rStyle w:val="908"/>
            <w:rFonts w:ascii="Times New Roman" w:hAnsi="Times New Roman" w:cs="Times New Roman"/>
            <w:i w:val="0"/>
            <w:iCs w:val="0"/>
            <w:color w:val="auto"/>
            <w:sz w:val="28"/>
            <w:szCs w:val="28"/>
            <w:u w:val="none"/>
          </w:rPr>
          <w:t xml:space="preserve">пункте 2.1</w:t>
        </w:r>
      </w:hyperlink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настоящего Порядка: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отсутствие просроченной задолженности по возврату в бюджет города Перми субсидий, бюджетных инвестиций, предоставленных в том числе в соответствии с иными правовыми актами, и иной просроченной задолженности перед бюджетом города Перми.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2.4. Основания для отказа Учреждению в предоставлении субсидии на иные цели: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несоответствие представленных Учреждением документов требованиям, определенным в соответствии с </w:t>
      </w:r>
      <w:hyperlink w:tooltip="#p20" w:anchor="p20" w:history="1">
        <w:r>
          <w:rPr>
            <w:rStyle w:val="908"/>
            <w:rFonts w:ascii="Times New Roman" w:hAnsi="Times New Roman" w:cs="Times New Roman"/>
            <w:i w:val="0"/>
            <w:iCs w:val="0"/>
            <w:color w:val="auto"/>
            <w:sz w:val="28"/>
            <w:szCs w:val="28"/>
            <w:u w:val="none"/>
          </w:rPr>
          <w:t xml:space="preserve">пунктом 2.1</w:t>
        </w:r>
      </w:hyperlink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настоящего Порядка, или непредставление (представление не в полном объеме) указанных документов;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недостоверность информации, содержащейся в документах, представленных Учреждением в соответствии с </w:t>
      </w:r>
      <w:hyperlink w:tooltip="#p20" w:anchor="p20" w:history="1">
        <w:r>
          <w:rPr>
            <w:rStyle w:val="908"/>
            <w:rFonts w:ascii="Times New Roman" w:hAnsi="Times New Roman" w:cs="Times New Roman"/>
            <w:i w:val="0"/>
            <w:iCs w:val="0"/>
            <w:color w:val="auto"/>
            <w:sz w:val="28"/>
            <w:szCs w:val="28"/>
            <w:u w:val="none"/>
          </w:rPr>
          <w:t xml:space="preserve">пунктом 2.1</w:t>
        </w:r>
      </w:hyperlink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настоящего Порядка.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2.5. 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Размер субсидий на иные цели опре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д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еляется на основании проектно-</w:t>
        <w:br/>
        <w:t xml:space="preserve">сметной документации, предварительной сметы расходов на выполнение соответствующих видов работ, предложений подрядчиков (исполнителей), заключенных контрактов (договоров) на поставку товаров, выполнение работ, оказание услуг.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2.6. Размер субсидий на иные цели на очередной финансовый год и плановый период по Учреждению оформляется по форме согласно приложению к настоящему Порядку.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2.7. Субсидии на иные цели предоставляются Учреждению на основании </w:t>
        <w:br/>
        <w:t xml:space="preserve">соглашения о предоставлении субсидии из бюджета города Перми (дале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е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– Соглашение), заключенного между Департаментом и Учреждением в соответствии </w:t>
        <w:br/>
        <w:t xml:space="preserve">с типовой формой, утвержденной распоряжением заместителя главы администрации города Перми-начальника департамента финансов администрации города Перми (далее – типовая форма).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Заключение Соглашения на очередной финансовый год и плановый период осуществляется Департаментом не позднее 10 рабочих дней со дня вступления </w:t>
        <w:br/>
        <w:t xml:space="preserve">в силу решения Пермской городской Думы о бюджете города Перми на очередной финансовый год и плановый период.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2.8. Условиями заключения Соглашения являются: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соответствие Учреждения требованиям, установленным </w:t>
      </w:r>
      <w:hyperlink w:tooltip="#p35" w:anchor="p35" w:history="1">
        <w:r>
          <w:rPr>
            <w:rStyle w:val="908"/>
            <w:rFonts w:ascii="Times New Roman" w:hAnsi="Times New Roman" w:cs="Times New Roman"/>
            <w:i w:val="0"/>
            <w:iCs w:val="0"/>
            <w:color w:val="auto"/>
            <w:sz w:val="28"/>
            <w:szCs w:val="28"/>
            <w:u w:val="none"/>
          </w:rPr>
          <w:t xml:space="preserve">пунктом 2.3</w:t>
        </w:r>
      </w:hyperlink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настоящего Порядка;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наличие бюджетных ассигнований для предоставления субсидий на иные цели в решении Пермской городской Думы о бюджете города Перми на очередной </w:t>
        <w:br/>
        <w:t xml:space="preserve">финансовый год и плановый период и отражение соответствующего финансирования в 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муниципальной программе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«Дорожная деятельность и благоустройство города Перми».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2.9. В случаях, установленных Соглашением, заключаются дополнительные соглашения, предусматривающие внесение в него изменений или его расторжение, в соответствии с типовой формой.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При внесении изменений в настоящий Порядок,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ую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у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«Дорожная деятельность и благоустройство города Перми»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требующих внесения изменений в Соглашение, дополнительные соглашения заключаются в течение </w:t>
        <w:br/>
        <w:t xml:space="preserve">10 рабочих дней со дня вступления в силу изменений в указанные правовые акты.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2.10. Субсидии на иные цели перечисляются в сроки, установленные </w:t>
        <w:br/>
        <w:t xml:space="preserve">Соглашением. Периодичность перечисления субсидий на иные цели – в течение текущего финансового года после представления документов, подтверждающих возникновение денежных обязательств.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2.11. Средства, предоставляемые Учреждению в виде субсидий на иные цели, расходуются в соответствии с их целевым назначением и не могут быть направлены на другие цели.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2.12. Субсидии на иные цели Учреждению предоставляются путем перечисления Департаментом денежных средств на отдельный лицевой счет 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Учреждения, открытый в департаменте финансов администрации города Перми в установленном порядке.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Ведение бухгалтерского учета по предоставленным субсидиям на иные цели осуществляется с применением аналитических кодов счетов бухгалтерского учета.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</w:r>
      <w:r>
        <w:rPr>
          <w:i w:val="0"/>
          <w:iCs w:val="0"/>
          <w:highlight w:val="white"/>
        </w:rPr>
      </w:r>
      <w:bookmarkStart w:id="0" w:name="undefined"/>
      <w:r>
        <w:rPr>
          <w:i w:val="0"/>
          <w:iCs w:val="0"/>
          <w:highlight w:val="white"/>
        </w:rPr>
      </w:r>
      <w:bookmarkEnd w:id="0"/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2.13. Результатом предоставления субсидий на иные цели является количество опор наружного освещения, на которых размещена архитектурная подсветка, в отношении которых выполнен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о обустройство (размещение)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 в соответствии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с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муниципальной программ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ой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«Дорожная деятельность и благоустройство города Перми». 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</w:r>
    </w:p>
    <w:p>
      <w:pPr>
        <w:ind w:firstLine="567"/>
        <w:jc w:val="center"/>
        <w:spacing w:line="238" w:lineRule="exact"/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III. Требования к отчетности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</w:r>
    </w:p>
    <w:p>
      <w:pPr>
        <w:ind w:firstLine="0"/>
        <w:jc w:val="left"/>
        <w:spacing w:line="240" w:lineRule="auto"/>
        <w:rPr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3.1. Учреждение по форме, установленной в Соглашении, представляет в Департамент следующие отчеты (далее – Отчеты):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отчет о расходах, источником финансового обеспечения которых являются субсидии на иные цели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, – ежегодно не позднее 15 рабочего дня месяца, следующего за отчетным годом;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отчет о достижении значений результатов предоставления субсидии на иные цели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ежегодно не позднее 15 рабочего дня месяца, следующего за отчетным годом;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отчет о реализации плана мероприятий по достижению результатов предоставления субсидии на иные цели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– ежеквартально не позднее 5 календарного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дня месяца, следующего за отчетным кварталом, а также не позднее 10 рабочего дня после достижения конечного значения результата предоставления субсидии.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3.2. Контроль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за своевременностью представления Отчетов и достоверностью отчетных данных возлагается на директора Учреждения.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3.3. Департамент имеет право устанавливать в Соглашении формы предоставления Учреждением дополнительной отчетности и сроки их представления.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567"/>
        <w:jc w:val="both"/>
        <w:spacing w:line="240" w:lineRule="auto"/>
        <w:rPr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</w:r>
    </w:p>
    <w:p>
      <w:pPr>
        <w:ind w:firstLine="567"/>
        <w:jc w:val="center"/>
        <w:spacing w:after="0" w:line="238" w:lineRule="exact"/>
        <w:rPr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IV. Порядок осуществления контроля за соблюдением целей,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</w:r>
    </w:p>
    <w:p>
      <w:pPr>
        <w:ind w:firstLine="567"/>
        <w:jc w:val="center"/>
        <w:spacing w:after="0" w:line="238" w:lineRule="exact"/>
        <w:rPr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условий и порядка предоставления субсидий на иные цели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</w:r>
    </w:p>
    <w:p>
      <w:pPr>
        <w:ind w:firstLine="567"/>
        <w:jc w:val="center"/>
        <w:spacing w:line="238" w:lineRule="exact"/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и ответственность за их несоблюдение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</w:r>
    </w:p>
    <w:p>
      <w:pPr>
        <w:ind w:firstLine="567"/>
        <w:jc w:val="center"/>
        <w:spacing w:line="240" w:lineRule="auto"/>
        <w:rPr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i w:val="0"/>
          <w:iCs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4.1. Департамент и уполномоченный орган муниципального финансового </w:t>
        <w:br/>
        <w:t xml:space="preserve">контроля осуществляют обязательную проверку соблюдения целей и условий предоставления Учреждению субсидий на иные цели. 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Департамент осуществляет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мониторинг достижения значений результатов предоставления субсидий на иные цели, определенных в Соглашени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и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, и событий,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отражающих факт завершения соответствующего мероприятия по 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п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олучению результат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а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предоставления субсидий на иные цели (контрольная точка), в порядке и по формам, которые установлены порядком проведения мониторинга достижения результатов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предоставления субсидий, в том числе грантов в форме субсидий, юридическим лицам, в том числе бюджетным и автономным учреждениям, индивидуальным 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предпринимателям, физическим лицам – производителям товаров, работ, услуг, утвержденным приказом Министерства финансов Российской Федерации.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4.2. Учреждение несет ответственность за несоблюдение целей и условий предоставления субсидий на иные цели, установленных настоящим Порядком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и Соглашением, в соответствии с действующим законодательством.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4.3. В случае несоблюдения Учреждением целей и условий, 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у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становленных при предоставлении субсидий на иные цели, выявленного по результатам проверок, проведенных Департаментом и уполномоченным органом муниципального финансового контроля, данные средства подлежат возврату в бюджет города Перми в следующие сроки: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на основании требования Департамента – в течение 30 календарных дней </w:t>
        <w:br/>
        <w:t xml:space="preserve">со дня получения Учреждением соответствующего требования;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на основании представления и (или) предписания уполномоченного органа муниципального финансового контроля – в срок, установленный в соответствии </w:t>
        <w:br/>
        <w:t xml:space="preserve">с бюджетным законодательством Российской Федерации.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В случае невыполнения Учреждением требования о возврате субсидий </w:t>
        <w:br/>
        <w:t xml:space="preserve">на иные цели Департамент обеспечивает взыскание субсидий на иные цели в судебном порядке в соответствии с действующим законодательством.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4.4. В случае недостижения результата предоставления субсидий на иные цели, установленного </w:t>
      </w:r>
      <w:hyperlink w:tooltip="#p56" w:anchor="p56" w:history="1">
        <w:r>
          <w:rPr>
            <w:rStyle w:val="908"/>
            <w:rFonts w:ascii="Times New Roman" w:hAnsi="Times New Roman" w:cs="Times New Roman"/>
            <w:i w:val="0"/>
            <w:iCs w:val="0"/>
            <w:color w:val="auto"/>
            <w:sz w:val="28"/>
            <w:szCs w:val="28"/>
            <w:u w:val="none"/>
          </w:rPr>
          <w:t xml:space="preserve">пунктом 2.13</w:t>
        </w:r>
      </w:hyperlink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н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астоящего Порядка, субсидии на иные цели подлежат возврату в доход бюджета города Перми в течение 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25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рабочих дней </w:t>
        <w:br/>
        <w:t xml:space="preserve">со дня выявления указанного недостижения.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i w:val="0"/>
          <w:iCs w:val="0"/>
        </w:rPr>
      </w:r>
      <w:bookmarkStart w:id="0" w:name="undefined"/>
      <w:r>
        <w:rPr>
          <w:i w:val="0"/>
          <w:iCs w:val="0"/>
        </w:rPr>
      </w:r>
      <w:bookmarkEnd w:id="0"/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4.5. Остатки суб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сидий на иные цели по состоянию на 01 января очередного финансового года, не использованные Учреждением в текущем финансовом году, подлежат перечислению Учреждением в доход бюджета города Перми не позднее первых 4 рабочих дней очередного финансового года.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Остатки субсидий на иные цели, перечисленные Учреждением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в доход бюджета города Перми, возвращаются Учреждению в очередном финансовом году при наличии потребности в направлении их на те же цели на основании запроса Учреждения в соответствии с решением Департамента, оформленным приказом начальника Департамента.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i w:val="0"/>
          <w:iCs w:val="0"/>
        </w:rPr>
      </w:r>
      <w:bookmarkStart w:id="0" w:name="undefined"/>
      <w:r>
        <w:rPr>
          <w:i w:val="0"/>
          <w:iCs w:val="0"/>
        </w:rPr>
      </w:r>
      <w:bookmarkEnd w:id="0"/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Решение о возврате остатков субсидий на иные цели принимается Департаментом по итогам рассмотрения запроса Учреждения, представленного в Департамент до 05 февраля текущего года и отражающего причины образования неиспользованных остатков и нео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б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ходимости их использования в текущем финансовом году, с приложением документов (копий документов), подтверждающих наличие и объем неисполненных обязательств, принятых до начала текущего финансового года либо подлежащих принятию в текущем финансовом году.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Департамент принимает решение о возврате остатков субсидий на иные цели в течение 1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0 рабочих дней с момента поступления указанной в </w:t>
      </w:r>
      <w:hyperlink w:tooltip="#p83" w:anchor="p83" w:history="1">
        <w:r>
          <w:rPr>
            <w:rStyle w:val="908"/>
            <w:rFonts w:ascii="Times New Roman" w:hAnsi="Times New Roman" w:cs="Times New Roman"/>
            <w:i w:val="0"/>
            <w:iCs w:val="0"/>
            <w:color w:val="auto"/>
            <w:sz w:val="28"/>
            <w:szCs w:val="28"/>
            <w:u w:val="none"/>
          </w:rPr>
          <w:t xml:space="preserve">абзаце третьем</w:t>
        </w:r>
      </w:hyperlink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настоящего пункта информации, но не позднее 20 мая текущего года.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В случае если Учреждением не обоснована потребность в направлении остатков субсидий на иные цели, они считаются неподтвержденными и не подлежат возврату Учреждению.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В случае если неиспользованные остатки субсидий на иные цели не перечислены Учреждением в доход бюджета города Перми в сроки, установленные </w:t>
      </w:r>
      <w:hyperlink w:tooltip="#p81" w:anchor="p81" w:history="1">
        <w:r>
          <w:rPr>
            <w:rStyle w:val="908"/>
            <w:rFonts w:ascii="Times New Roman" w:hAnsi="Times New Roman" w:cs="Times New Roman"/>
            <w:i w:val="0"/>
            <w:iCs w:val="0"/>
            <w:color w:val="auto"/>
            <w:sz w:val="28"/>
            <w:szCs w:val="28"/>
            <w:u w:val="none"/>
          </w:rPr>
          <w:t xml:space="preserve">абзацем первым</w:t>
        </w:r>
      </w:hyperlink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настоящего пункта, то они подлежат взысканию в установленном действующим законодательством порядке. 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4.6. В случае поступления средств от возврата ранее произведенных Учреждением выплат, источником финансового обеспечения которых являются субсидии на 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иные цели, для достижения целей, установленных при предоставлении субсидии, Департамент в течение 30 рабочих дней с момента их поступления принимает решение об использовании в текущем финансовом году указанных средств путем издания соответствующего приказа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.</w:t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Решение Департамента об использов</w:t>
      </w:r>
      <w:r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ании в текущем финансовом году </w:t>
        <w:br/>
        <w:t xml:space="preserve">указанных средств принимается при наличии потребности Учреждения по итогам рас</w:t>
      </w:r>
      <w:r>
        <w:rPr>
          <w:rFonts w:ascii="Times New Roman" w:hAnsi="Times New Roman" w:cs="Times New Roman"/>
          <w:sz w:val="28"/>
          <w:szCs w:val="28"/>
        </w:rPr>
        <w:t xml:space="preserve">смотрения запроса, представленного Учреждением в Департамент в течение </w:t>
        <w:br/>
        <w:t xml:space="preserve">30 рабочих дней с момента поступления средств в Учреждение и отражающего </w:t>
        <w:br/>
        <w:t xml:space="preserve">нео</w:t>
      </w:r>
      <w:r>
        <w:rPr>
          <w:rFonts w:ascii="Times New Roman" w:hAnsi="Times New Roman" w:cs="Times New Roman"/>
          <w:sz w:val="28"/>
          <w:szCs w:val="28"/>
        </w:rPr>
        <w:t xml:space="preserve">бх</w:t>
      </w:r>
      <w:r>
        <w:rPr>
          <w:rFonts w:ascii="Times New Roman" w:hAnsi="Times New Roman" w:cs="Times New Roman"/>
          <w:sz w:val="28"/>
          <w:szCs w:val="28"/>
        </w:rPr>
        <w:t xml:space="preserve">одимость их использования в текущем финансовом году, с приложением </w:t>
        <w:br/>
        <w:t xml:space="preserve">документов (копий документов), подтверждающих наличие и объем </w:t>
        <w:br/>
        <w:t xml:space="preserve">неисполненных обязательств, принятых до начала текущего финансового года либо подлежащих принятию в текущем финансовом году.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4.7. В случае если расходы Учреждения, источником финансового обеспечения которых должн</w:t>
      </w:r>
      <w:r>
        <w:rPr>
          <w:rFonts w:ascii="Times New Roman" w:hAnsi="Times New Roman" w:cs="Times New Roman"/>
          <w:sz w:val="28"/>
          <w:szCs w:val="28"/>
        </w:rPr>
        <w:t xml:space="preserve">ы</w:t>
      </w:r>
      <w:r>
        <w:rPr>
          <w:rFonts w:ascii="Times New Roman" w:hAnsi="Times New Roman" w:cs="Times New Roman"/>
          <w:sz w:val="28"/>
          <w:szCs w:val="28"/>
        </w:rPr>
        <w:t xml:space="preserve"> являться субсидии на иные цели, осуществлены с лицевого счета Учреждения, открытого ему в департаменте финансов администрации города Перми для учета операций со средствами Учреждения, получаемыми </w:t>
        <w:br/>
        <w:t xml:space="preserve">Учреждением от приносящей доход деятельности, и со средств</w:t>
      </w:r>
      <w:r>
        <w:rPr>
          <w:rFonts w:ascii="Times New Roman" w:hAnsi="Times New Roman" w:cs="Times New Roman"/>
          <w:sz w:val="28"/>
          <w:szCs w:val="28"/>
        </w:rPr>
        <w:t xml:space="preserve">ам</w:t>
      </w:r>
      <w:r>
        <w:rPr>
          <w:rFonts w:ascii="Times New Roman" w:hAnsi="Times New Roman" w:cs="Times New Roman"/>
          <w:sz w:val="28"/>
          <w:szCs w:val="28"/>
        </w:rPr>
        <w:t xml:space="preserve">и, поступающими Учреждению на финансовое обеспечение выполнения им муниципального </w:t>
        <w:br/>
        <w:t xml:space="preserve">задания, Учреждение вправе осуществить возмещение указанных расходов за счет субсидий на иные цели после проверки документов, подтверждающих </w:t>
        <w:br/>
        <w:t xml:space="preserve">подлежащие возмещению расходы.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Возмещение расходов Учреждения осуществляется после согласования их возмещения Департаментом в порядке, утвержденном распоряжением заместителя главы администрации города Перми-начальника департамента финансов администрации города Перми. 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</w:p>
    <w:p>
      <w:pPr>
        <w:jc w:val="left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left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left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line="240" w:lineRule="auto"/>
        <w:rPr>
          <w:rFonts w:ascii="Times New Roman" w:hAnsi="Times New Roman" w:cs="Times New Roman"/>
          <w:sz w:val="28"/>
          <w:szCs w:val="28"/>
        </w:rPr>
        <w:sectPr>
          <w:headerReference w:type="default" r:id="rId8"/>
          <w:headerReference w:type="even" r:id="rId9"/>
          <w:headerReference w:type="first" r:id="rId10"/>
          <w:footerReference w:type="default" r:id="rId11"/>
          <w:footnotePr/>
          <w:endnotePr/>
          <w:type w:val="nextPage"/>
          <w:pgSz w:w="11906" w:h="16838" w:orient="portrait"/>
          <w:pgMar w:top="1134" w:right="567" w:bottom="1134" w:left="1417" w:header="363" w:footer="709" w:gutter="0"/>
          <w:pgNumType w:start="1"/>
          <w:cols w:num="1" w:sep="0" w:space="1701" w:equalWidth="1"/>
          <w:docGrid w:linePitch="360"/>
          <w:titlePg/>
        </w:sect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69"/>
        <w:jc w:val="left"/>
        <w:spacing w:line="238" w:lineRule="exac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69"/>
        <w:jc w:val="left"/>
        <w:spacing w:line="238" w:lineRule="exac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к Порядку </w:t>
      </w:r>
      <w:r>
        <w:rPr>
          <w:rFonts w:ascii="Times New Roman" w:hAnsi="Times New Roman" w:cs="Times New Roman"/>
          <w:sz w:val="28"/>
          <w:szCs w:val="28"/>
        </w:rPr>
        <w:t xml:space="preserve">определения объема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69"/>
        <w:jc w:val="left"/>
        <w:spacing w:line="238" w:lineRule="exac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и условий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69"/>
        <w:jc w:val="left"/>
        <w:spacing w:line="238" w:lineRule="exac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субсидий </w:t>
      </w:r>
      <w:r>
        <w:rPr>
          <w:rFonts w:ascii="Times New Roman" w:hAnsi="Times New Roman" w:cs="Times New Roman"/>
          <w:sz w:val="28"/>
          <w:szCs w:val="28"/>
        </w:rPr>
        <w:t xml:space="preserve">на иные цели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69"/>
        <w:jc w:val="left"/>
        <w:spacing w:line="238" w:lineRule="exac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>
        <w:rPr>
          <w:rFonts w:ascii="Times New Roman" w:hAnsi="Times New Roman" w:cs="Times New Roman"/>
          <w:sz w:val="28"/>
          <w:szCs w:val="28"/>
        </w:rPr>
        <w:t xml:space="preserve">бюджетному учреждению города </w:t>
      </w:r>
      <w:r>
        <w:rPr>
          <w:rFonts w:ascii="Times New Roman" w:hAnsi="Times New Roman" w:cs="Times New Roman"/>
          <w:sz w:val="28"/>
          <w:szCs w:val="28"/>
        </w:rPr>
        <w:t xml:space="preserve">Перми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69"/>
        <w:jc w:val="left"/>
        <w:spacing w:line="238" w:lineRule="exac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«Горсвет», подведомственному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69"/>
        <w:jc w:val="left"/>
        <w:spacing w:line="238" w:lineRule="exac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департаменту дорог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69"/>
        <w:jc w:val="left"/>
        <w:spacing w:line="238" w:lineRule="exac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и благоустройства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69"/>
        <w:jc w:val="left"/>
        <w:spacing w:line="238" w:lineRule="exac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города Перми,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69"/>
        <w:jc w:val="left"/>
        <w:spacing w:line="238" w:lineRule="exac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на выполнение работ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69"/>
        <w:jc w:val="left"/>
        <w:spacing w:line="238" w:lineRule="exac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по  обустройству (размещению) архитектурной подсветки на </w:t>
        <w:br/>
        <w:t xml:space="preserve">опорах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наружного </w:t>
      </w:r>
      <w:r>
        <w:rPr>
          <w:rFonts w:ascii="Times New Roman" w:hAnsi="Times New Roman" w:cs="Times New Roman"/>
          <w:sz w:val="28"/>
          <w:szCs w:val="28"/>
        </w:rPr>
        <w:t xml:space="preserve">освещения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территории города Перми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left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left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left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line="238" w:lineRule="exac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</w:rPr>
      </w:r>
      <w:bookmarkStart w:id="0" w:name="undefined"/>
      <w:r>
        <w:rPr>
          <w:b/>
          <w:bCs/>
        </w:rPr>
      </w:r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РАСЧЕТ-ОБОСНОВАНИЕ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line="238" w:lineRule="exact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суммы субсидий на 20____ год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  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9765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"/>
        <w:gridCol w:w="3805"/>
        <w:gridCol w:w="1155"/>
        <w:gridCol w:w="2268"/>
        <w:gridCol w:w="2127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Вид субсидий на иные цели </w:t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Адрес объекта </w:t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Направление расходования средств субсидий на иные цели </w:t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Сумма субсидий на иные цели, тыс. руб. </w:t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2 </w:t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3 </w:t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4 </w:t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5 </w:t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jc w:val="left"/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Субсидии на иные цели </w:t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</w:p>
          <w:p>
            <w:pPr>
              <w:jc w:val="left"/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на выполнение работ по обустройству (размещению) архитектурной подсветки на опорах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наружного освещения на территории города Перми</w:t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  </w:t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  </w:t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  </w:t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</w:p>
        </w:tc>
      </w:tr>
    </w:tbl>
    <w:p>
      <w:pPr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 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Учреждение не имеет задолженности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Учреждение не имеет задолженности по возврату в бюджет города Перми субсидий, бюджетных инвестиций, предоставленных в том числе в соответствии </w:t>
        <w:br/>
        <w:t xml:space="preserve">с иными правовыми актами, и иной просроченной задолженности перед бюджетом города Перми.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 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883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4"/>
        <w:gridCol w:w="2509"/>
        <w:gridCol w:w="3542"/>
      </w:tblGrid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учреждения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0" w:type="auto"/>
            <w:vAlign w:val="center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0" w:type="auto"/>
            <w:vAlign w:val="center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М.П.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0" w:type="auto"/>
            <w:vAlign w:val="center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(подпись)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0" w:type="auto"/>
            <w:vAlign w:val="center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(расшифровка)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W w:w="0" w:type="auto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«___» ______________ 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Исполнитель: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0" w:type="auto"/>
            <w:vAlign w:val="center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0" w:type="auto"/>
            <w:vAlign w:val="center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0" w:type="auto"/>
            <w:vAlign w:val="center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(подпись)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0" w:type="auto"/>
            <w:vAlign w:val="center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(расшифровка)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417" w:header="363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3020204020204"/>
  </w:font>
  <w:font w:name="Arial">
    <w:panose1 w:val="020B0604020202020204"/>
  </w:font>
  <w:font w:name="Tahoma">
    <w:panose1 w:val="020B0604030504040204"/>
  </w:font>
  <w:font w:name="Courier New">
    <w:panose1 w:val="02070309020205020404"/>
  </w:font>
  <w:font w:name="Lohit Devanagari">
    <w:panose1 w:val="020B0600000000000000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5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6"/>
      <w:jc w:val="center"/>
      <w:rPr>
        <w:sz w:val="28"/>
        <w:szCs w:val="28"/>
      </w:rPr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  <w:p>
    <w:pPr>
      <w:pStyle w:val="936"/>
      <w:rPr>
        <w:sz w:val="28"/>
        <w:szCs w:val="28"/>
      </w:rPr>
    </w:pPr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6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0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36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936"/>
                            <w:rPr>
                              <w:rStyle w:val="905"/>
                            </w:rPr>
                          </w:pPr>
                          <w:r>
                            <w:rPr>
                              <w:rStyle w:val="905"/>
                            </w:rPr>
                            <w:fldChar w:fldCharType="begin"/>
                          </w:r>
                          <w:r>
                            <w:rPr>
                              <w:rStyle w:val="905"/>
                            </w:rPr>
                            <w:instrText xml:space="preserve"> PAGE </w:instrText>
                          </w:r>
                          <w:r>
                            <w:rPr>
                              <w:rStyle w:val="905"/>
                            </w:rPr>
                            <w:fldChar w:fldCharType="separate"/>
                          </w:r>
                          <w:r>
                            <w:rPr>
                              <w:rStyle w:val="905"/>
                            </w:rPr>
                            <w:t xml:space="preserve">0</w:t>
                          </w:r>
                          <w:r>
                            <w:rPr>
                              <w:rStyle w:val="905"/>
                            </w:rPr>
                            <w:fldChar w:fldCharType="end"/>
                          </w:r>
                          <w:r>
                            <w:rPr>
                              <w:rStyle w:val="905"/>
                            </w:rPr>
                          </w:r>
                          <w:r>
                            <w:rPr>
                              <w:rStyle w:val="905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202" type="#_x0000_t202" style="position:absolute;z-index:251658240;o:allowoverlap:true;o:allowincell:true;mso-position-horizontal-relative:margin;mso-position-horizontal:center;mso-position-vertical-relative:text;margin-top:0.05pt;mso-position-vertical:absolute;width:1.15pt;height:1.15pt;mso-wrap-distance-left:0.00pt;mso-wrap-distance-top:0.00pt;mso-wrap-distance-right:0.00pt;mso-wrap-distance-bottom:0.00pt;v-text-anchor:top;visibility:visible;" fillcolor="#FFFFFF">
              <v:fill opacity="100f"/>
              <w10:wrap type="square"/>
              <v:textbox inset="0,0,0,0">
                <w:txbxContent>
                  <w:p>
                    <w:pPr>
                      <w:pStyle w:val="936"/>
                      <w:rPr>
                        <w:rStyle w:val="905"/>
                      </w:rPr>
                    </w:pPr>
                    <w:r>
                      <w:rPr>
                        <w:rStyle w:val="905"/>
                      </w:rPr>
                      <w:fldChar w:fldCharType="begin"/>
                    </w:r>
                    <w:r>
                      <w:rPr>
                        <w:rStyle w:val="905"/>
                      </w:rPr>
                      <w:instrText xml:space="preserve"> PAGE </w:instrText>
                    </w:r>
                    <w:r>
                      <w:rPr>
                        <w:rStyle w:val="905"/>
                      </w:rPr>
                      <w:fldChar w:fldCharType="separate"/>
                    </w:r>
                    <w:r>
                      <w:rPr>
                        <w:rStyle w:val="905"/>
                      </w:rPr>
                      <w:t xml:space="preserve">0</w:t>
                    </w:r>
                    <w:r>
                      <w:rPr>
                        <w:rStyle w:val="905"/>
                      </w:rPr>
                      <w:fldChar w:fldCharType="end"/>
                    </w:r>
                    <w:r>
                      <w:rPr>
                        <w:rStyle w:val="905"/>
                      </w:rPr>
                    </w:r>
                    <w:r>
                      <w:rPr>
                        <w:rStyle w:val="905"/>
                      </w:rPr>
                    </w:r>
                  </w:p>
                </w:txbxContent>
              </v:textbox>
            </v:shape>
          </w:pict>
        </mc:Fallback>
      </mc:AlternateContent>
    </w: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Tahoma" w:cs="Lohit Devanagar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43">
    <w:name w:val="Caption Char"/>
    <w:basedOn w:val="915"/>
    <w:link w:val="935"/>
    <w:uiPriority w:val="99"/>
  </w:style>
  <w:style w:type="paragraph" w:styleId="744" w:default="1">
    <w:name w:val="Normal"/>
    <w:qFormat/>
  </w:style>
  <w:style w:type="paragraph" w:styleId="745">
    <w:name w:val="Heading 1"/>
    <w:basedOn w:val="744"/>
    <w:qFormat/>
    <w:pPr>
      <w:ind w:right="-1" w:firstLine="709"/>
      <w:jc w:val="both"/>
      <w:keepNext/>
      <w:outlineLvl w:val="0"/>
    </w:pPr>
    <w:rPr>
      <w:sz w:val="24"/>
    </w:rPr>
  </w:style>
  <w:style w:type="paragraph" w:styleId="746">
    <w:name w:val="Heading 2"/>
    <w:basedOn w:val="744"/>
    <w:qFormat/>
    <w:pPr>
      <w:ind w:right="-1"/>
      <w:jc w:val="both"/>
      <w:keepNext/>
      <w:outlineLvl w:val="1"/>
    </w:pPr>
    <w:rPr>
      <w:sz w:val="24"/>
    </w:rPr>
  </w:style>
  <w:style w:type="paragraph" w:styleId="747">
    <w:name w:val="Heading 3"/>
    <w:basedOn w:val="74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48">
    <w:name w:val="Heading 4"/>
    <w:basedOn w:val="74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49">
    <w:name w:val="Heading 5"/>
    <w:basedOn w:val="74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50">
    <w:name w:val="Heading 6"/>
    <w:basedOn w:val="74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51">
    <w:name w:val="Heading 7"/>
    <w:basedOn w:val="74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52">
    <w:name w:val="Heading 8"/>
    <w:basedOn w:val="74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53">
    <w:name w:val="Heading 9"/>
    <w:basedOn w:val="74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4" w:default="1">
    <w:name w:val="Default Paragraph Font"/>
    <w:uiPriority w:val="1"/>
    <w:semiHidden/>
    <w:unhideWhenUsed/>
  </w:style>
  <w:style w:type="table" w:styleId="75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6" w:default="1">
    <w:name w:val="No List"/>
    <w:uiPriority w:val="99"/>
    <w:semiHidden/>
    <w:unhideWhenUsed/>
  </w:style>
  <w:style w:type="table" w:styleId="757">
    <w:name w:val="Table Grid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8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9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0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1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2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4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6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87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88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89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90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91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92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93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94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95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96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97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98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99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00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01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02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03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04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05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06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21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22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23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24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25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26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27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2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3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4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5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6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7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8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9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50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51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52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53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54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55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3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64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65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6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7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8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9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0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71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72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73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74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75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76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7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78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79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80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81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82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83" w:customStyle="1">
    <w:name w:val="Heading 1 Char"/>
    <w:basedOn w:val="754"/>
    <w:uiPriority w:val="9"/>
    <w:qFormat/>
    <w:rPr>
      <w:rFonts w:ascii="Arial" w:hAnsi="Arial" w:eastAsia="Arial" w:cs="Arial"/>
      <w:sz w:val="40"/>
      <w:szCs w:val="40"/>
    </w:rPr>
  </w:style>
  <w:style w:type="character" w:styleId="884" w:customStyle="1">
    <w:name w:val="Heading 2 Char"/>
    <w:basedOn w:val="754"/>
    <w:uiPriority w:val="9"/>
    <w:qFormat/>
    <w:rPr>
      <w:rFonts w:ascii="Arial" w:hAnsi="Arial" w:eastAsia="Arial" w:cs="Arial"/>
      <w:sz w:val="34"/>
    </w:rPr>
  </w:style>
  <w:style w:type="character" w:styleId="885" w:customStyle="1">
    <w:name w:val="Heading 3 Char"/>
    <w:basedOn w:val="754"/>
    <w:uiPriority w:val="9"/>
    <w:qFormat/>
    <w:rPr>
      <w:rFonts w:ascii="Arial" w:hAnsi="Arial" w:eastAsia="Arial" w:cs="Arial"/>
      <w:sz w:val="30"/>
      <w:szCs w:val="30"/>
    </w:rPr>
  </w:style>
  <w:style w:type="character" w:styleId="886" w:customStyle="1">
    <w:name w:val="Heading 4 Char"/>
    <w:basedOn w:val="75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87" w:customStyle="1">
    <w:name w:val="Heading 5 Char"/>
    <w:basedOn w:val="754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888" w:customStyle="1">
    <w:name w:val="Heading 6 Char"/>
    <w:basedOn w:val="754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89" w:customStyle="1">
    <w:name w:val="Heading 7 Char"/>
    <w:basedOn w:val="754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90" w:customStyle="1">
    <w:name w:val="Heading 8 Char"/>
    <w:basedOn w:val="754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91" w:customStyle="1">
    <w:name w:val="Heading 9 Char"/>
    <w:basedOn w:val="754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92" w:customStyle="1">
    <w:name w:val="Title Char"/>
    <w:basedOn w:val="754"/>
    <w:uiPriority w:val="10"/>
    <w:qFormat/>
    <w:rPr>
      <w:sz w:val="48"/>
      <w:szCs w:val="48"/>
    </w:rPr>
  </w:style>
  <w:style w:type="character" w:styleId="893" w:customStyle="1">
    <w:name w:val="Subtitle Char"/>
    <w:basedOn w:val="754"/>
    <w:uiPriority w:val="11"/>
    <w:qFormat/>
    <w:rPr>
      <w:sz w:val="24"/>
      <w:szCs w:val="24"/>
    </w:rPr>
  </w:style>
  <w:style w:type="character" w:styleId="894" w:customStyle="1">
    <w:name w:val="Quote Char"/>
    <w:uiPriority w:val="29"/>
    <w:qFormat/>
    <w:rPr>
      <w:i/>
    </w:rPr>
  </w:style>
  <w:style w:type="character" w:styleId="895" w:customStyle="1">
    <w:name w:val="Intense Quote Char"/>
    <w:uiPriority w:val="30"/>
    <w:qFormat/>
    <w:rPr>
      <w:i/>
    </w:rPr>
  </w:style>
  <w:style w:type="character" w:styleId="896" w:customStyle="1">
    <w:name w:val="Header Char"/>
    <w:basedOn w:val="754"/>
    <w:uiPriority w:val="99"/>
    <w:qFormat/>
  </w:style>
  <w:style w:type="character" w:styleId="897" w:customStyle="1">
    <w:name w:val="Footer Char"/>
    <w:basedOn w:val="754"/>
    <w:uiPriority w:val="99"/>
    <w:qFormat/>
  </w:style>
  <w:style w:type="character" w:styleId="898" w:customStyle="1">
    <w:name w:val="Название объекта Знак"/>
    <w:link w:val="915"/>
    <w:uiPriority w:val="99"/>
    <w:qFormat/>
  </w:style>
  <w:style w:type="character" w:styleId="899" w:customStyle="1">
    <w:name w:val="Footnote Text Char"/>
    <w:uiPriority w:val="99"/>
    <w:qFormat/>
    <w:rPr>
      <w:sz w:val="18"/>
    </w:rPr>
  </w:style>
  <w:style w:type="character" w:styleId="900" w:customStyle="1">
    <w:name w:val="Символ сноски"/>
    <w:uiPriority w:val="99"/>
    <w:unhideWhenUsed/>
    <w:qFormat/>
    <w:rPr>
      <w:vertAlign w:val="superscript"/>
    </w:rPr>
  </w:style>
  <w:style w:type="character" w:styleId="901">
    <w:name w:val="footnote reference"/>
    <w:rPr>
      <w:vertAlign w:val="superscript"/>
    </w:rPr>
  </w:style>
  <w:style w:type="character" w:styleId="902" w:customStyle="1">
    <w:name w:val="Endnote Text Char"/>
    <w:uiPriority w:val="99"/>
    <w:qFormat/>
    <w:rPr>
      <w:sz w:val="20"/>
    </w:rPr>
  </w:style>
  <w:style w:type="character" w:styleId="903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904">
    <w:name w:val="endnote reference"/>
    <w:rPr>
      <w:vertAlign w:val="superscript"/>
    </w:rPr>
  </w:style>
  <w:style w:type="character" w:styleId="905">
    <w:name w:val="page number"/>
    <w:basedOn w:val="754"/>
    <w:qFormat/>
  </w:style>
  <w:style w:type="character" w:styleId="906" w:customStyle="1">
    <w:name w:val="Текст выноски Знак"/>
    <w:uiPriority w:val="99"/>
    <w:qFormat/>
    <w:rPr>
      <w:rFonts w:ascii="Segoe UI" w:hAnsi="Segoe UI" w:cs="Segoe UI"/>
      <w:sz w:val="18"/>
      <w:szCs w:val="18"/>
    </w:rPr>
  </w:style>
  <w:style w:type="character" w:styleId="907" w:customStyle="1">
    <w:name w:val="Верхний колонтитул Знак"/>
    <w:uiPriority w:val="99"/>
    <w:qFormat/>
  </w:style>
  <w:style w:type="character" w:styleId="908">
    <w:name w:val="Hyperlink"/>
    <w:uiPriority w:val="99"/>
    <w:unhideWhenUsed/>
    <w:rPr>
      <w:color w:val="0000ff"/>
      <w:u w:val="single"/>
    </w:rPr>
  </w:style>
  <w:style w:type="character" w:styleId="909">
    <w:name w:val="FollowedHyperlink"/>
    <w:uiPriority w:val="99"/>
    <w:unhideWhenUsed/>
    <w:rPr>
      <w:color w:val="800080"/>
      <w:u w:val="single"/>
    </w:rPr>
  </w:style>
  <w:style w:type="character" w:styleId="910" w:customStyle="1">
    <w:name w:val="Основной текст Знак"/>
    <w:qFormat/>
    <w:rPr>
      <w:rFonts w:ascii="Courier New" w:hAnsi="Courier New"/>
      <w:sz w:val="26"/>
    </w:rPr>
  </w:style>
  <w:style w:type="character" w:styleId="911" w:customStyle="1">
    <w:name w:val="Нижний колонтитул Знак"/>
    <w:uiPriority w:val="99"/>
    <w:qFormat/>
  </w:style>
  <w:style w:type="paragraph" w:styleId="912">
    <w:name w:val="Title"/>
    <w:basedOn w:val="744"/>
    <w:next w:val="913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913">
    <w:name w:val="Body Text"/>
    <w:basedOn w:val="744"/>
    <w:pPr>
      <w:ind w:right="3117"/>
    </w:pPr>
    <w:rPr>
      <w:rFonts w:ascii="Courier New" w:hAnsi="Courier New"/>
      <w:sz w:val="26"/>
    </w:rPr>
  </w:style>
  <w:style w:type="paragraph" w:styleId="914">
    <w:name w:val="List"/>
    <w:basedOn w:val="913"/>
  </w:style>
  <w:style w:type="paragraph" w:styleId="915">
    <w:name w:val="Caption"/>
    <w:basedOn w:val="744"/>
    <w:link w:val="898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16">
    <w:name w:val="index heading"/>
    <w:basedOn w:val="912"/>
  </w:style>
  <w:style w:type="paragraph" w:styleId="917">
    <w:name w:val="Subtitle"/>
    <w:basedOn w:val="744"/>
    <w:uiPriority w:val="11"/>
    <w:qFormat/>
    <w:pPr>
      <w:spacing w:before="200" w:after="200"/>
    </w:pPr>
    <w:rPr>
      <w:sz w:val="24"/>
      <w:szCs w:val="24"/>
    </w:rPr>
  </w:style>
  <w:style w:type="paragraph" w:styleId="918">
    <w:name w:val="Quote"/>
    <w:basedOn w:val="744"/>
    <w:uiPriority w:val="29"/>
    <w:qFormat/>
    <w:pPr>
      <w:ind w:left="720" w:right="720"/>
    </w:pPr>
    <w:rPr>
      <w:i/>
    </w:rPr>
  </w:style>
  <w:style w:type="paragraph" w:styleId="919">
    <w:name w:val="Intense Quote"/>
    <w:basedOn w:val="74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920">
    <w:name w:val="footnote text"/>
    <w:basedOn w:val="744"/>
    <w:uiPriority w:val="99"/>
    <w:semiHidden/>
    <w:unhideWhenUsed/>
    <w:pPr>
      <w:spacing w:after="40"/>
    </w:pPr>
    <w:rPr>
      <w:sz w:val="18"/>
    </w:rPr>
  </w:style>
  <w:style w:type="paragraph" w:styleId="921">
    <w:name w:val="endnote text"/>
    <w:basedOn w:val="744"/>
    <w:uiPriority w:val="99"/>
    <w:semiHidden/>
    <w:unhideWhenUsed/>
  </w:style>
  <w:style w:type="paragraph" w:styleId="922">
    <w:name w:val="toc 1"/>
    <w:basedOn w:val="744"/>
    <w:uiPriority w:val="39"/>
    <w:unhideWhenUsed/>
    <w:pPr>
      <w:spacing w:after="57"/>
    </w:pPr>
  </w:style>
  <w:style w:type="paragraph" w:styleId="923">
    <w:name w:val="toc 2"/>
    <w:basedOn w:val="744"/>
    <w:uiPriority w:val="39"/>
    <w:unhideWhenUsed/>
    <w:pPr>
      <w:ind w:left="283"/>
      <w:spacing w:after="57"/>
    </w:pPr>
  </w:style>
  <w:style w:type="paragraph" w:styleId="924">
    <w:name w:val="toc 3"/>
    <w:basedOn w:val="744"/>
    <w:uiPriority w:val="39"/>
    <w:unhideWhenUsed/>
    <w:pPr>
      <w:ind w:left="567"/>
      <w:spacing w:after="57"/>
    </w:pPr>
  </w:style>
  <w:style w:type="paragraph" w:styleId="925">
    <w:name w:val="toc 4"/>
    <w:basedOn w:val="744"/>
    <w:uiPriority w:val="39"/>
    <w:unhideWhenUsed/>
    <w:pPr>
      <w:ind w:left="850"/>
      <w:spacing w:after="57"/>
    </w:pPr>
  </w:style>
  <w:style w:type="paragraph" w:styleId="926">
    <w:name w:val="toc 5"/>
    <w:basedOn w:val="744"/>
    <w:uiPriority w:val="39"/>
    <w:unhideWhenUsed/>
    <w:pPr>
      <w:ind w:left="1134"/>
      <w:spacing w:after="57"/>
    </w:pPr>
  </w:style>
  <w:style w:type="paragraph" w:styleId="927">
    <w:name w:val="toc 6"/>
    <w:basedOn w:val="744"/>
    <w:uiPriority w:val="39"/>
    <w:unhideWhenUsed/>
    <w:pPr>
      <w:ind w:left="1417"/>
      <w:spacing w:after="57"/>
    </w:pPr>
  </w:style>
  <w:style w:type="paragraph" w:styleId="928">
    <w:name w:val="toc 7"/>
    <w:basedOn w:val="744"/>
    <w:uiPriority w:val="39"/>
    <w:unhideWhenUsed/>
    <w:pPr>
      <w:ind w:left="1701"/>
      <w:spacing w:after="57"/>
    </w:pPr>
  </w:style>
  <w:style w:type="paragraph" w:styleId="929">
    <w:name w:val="toc 8"/>
    <w:basedOn w:val="744"/>
    <w:uiPriority w:val="39"/>
    <w:unhideWhenUsed/>
    <w:pPr>
      <w:ind w:left="1984"/>
      <w:spacing w:after="57"/>
    </w:pPr>
  </w:style>
  <w:style w:type="paragraph" w:styleId="930">
    <w:name w:val="toc 9"/>
    <w:basedOn w:val="744"/>
    <w:uiPriority w:val="39"/>
    <w:unhideWhenUsed/>
    <w:pPr>
      <w:ind w:left="2268"/>
      <w:spacing w:after="57"/>
    </w:pPr>
  </w:style>
  <w:style w:type="paragraph" w:styleId="931">
    <w:name w:val="TOC Heading"/>
    <w:uiPriority w:val="39"/>
    <w:unhideWhenUsed/>
    <w:qFormat/>
  </w:style>
  <w:style w:type="paragraph" w:styleId="932">
    <w:name w:val="table of figures"/>
    <w:basedOn w:val="744"/>
    <w:uiPriority w:val="99"/>
    <w:unhideWhenUsed/>
  </w:style>
  <w:style w:type="paragraph" w:styleId="933">
    <w:name w:val="Body Text Indent"/>
    <w:basedOn w:val="744"/>
    <w:pPr>
      <w:ind w:right="-1"/>
      <w:jc w:val="both"/>
    </w:pPr>
    <w:rPr>
      <w:sz w:val="26"/>
    </w:rPr>
  </w:style>
  <w:style w:type="paragraph" w:styleId="934" w:customStyle="1">
    <w:name w:val="Колонтитул"/>
    <w:basedOn w:val="744"/>
    <w:qFormat/>
  </w:style>
  <w:style w:type="paragraph" w:styleId="935">
    <w:name w:val="Footer"/>
    <w:basedOn w:val="744"/>
    <w:uiPriority w:val="99"/>
    <w:pPr>
      <w:tabs>
        <w:tab w:val="center" w:pos="4153" w:leader="none"/>
        <w:tab w:val="right" w:pos="8306" w:leader="none"/>
      </w:tabs>
    </w:pPr>
  </w:style>
  <w:style w:type="paragraph" w:styleId="936">
    <w:name w:val="Header"/>
    <w:basedOn w:val="744"/>
    <w:uiPriority w:val="99"/>
    <w:pPr>
      <w:tabs>
        <w:tab w:val="center" w:pos="4153" w:leader="none"/>
        <w:tab w:val="right" w:pos="8306" w:leader="none"/>
      </w:tabs>
    </w:pPr>
  </w:style>
  <w:style w:type="paragraph" w:styleId="937">
    <w:name w:val="Balloon Text"/>
    <w:basedOn w:val="744"/>
    <w:uiPriority w:val="99"/>
    <w:qFormat/>
    <w:rPr>
      <w:rFonts w:ascii="Segoe UI" w:hAnsi="Segoe UI" w:cs="Segoe UI"/>
      <w:sz w:val="18"/>
      <w:szCs w:val="18"/>
    </w:rPr>
  </w:style>
  <w:style w:type="paragraph" w:styleId="938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paragraph" w:styleId="939" w:customStyle="1">
    <w:name w:val="xl65"/>
    <w:basedOn w:val="744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0" w:customStyle="1">
    <w:name w:val="xl66"/>
    <w:basedOn w:val="744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1" w:customStyle="1">
    <w:name w:val="xl67"/>
    <w:basedOn w:val="744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2" w:customStyle="1">
    <w:name w:val="xl68"/>
    <w:basedOn w:val="744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43" w:customStyle="1">
    <w:name w:val="xl69"/>
    <w:basedOn w:val="744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4" w:customStyle="1">
    <w:name w:val="xl70"/>
    <w:basedOn w:val="744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45" w:customStyle="1">
    <w:name w:val="xl71"/>
    <w:basedOn w:val="744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6" w:customStyle="1">
    <w:name w:val="xl72"/>
    <w:basedOn w:val="744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7" w:customStyle="1">
    <w:name w:val="xl73"/>
    <w:basedOn w:val="744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48" w:customStyle="1">
    <w:name w:val="xl74"/>
    <w:basedOn w:val="744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9" w:customStyle="1">
    <w:name w:val="xl75"/>
    <w:basedOn w:val="744"/>
    <w:qFormat/>
    <w:pPr>
      <w:jc w:val="right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0" w:customStyle="1">
    <w:name w:val="xl76"/>
    <w:basedOn w:val="744"/>
    <w:qFormat/>
    <w:pPr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51" w:customStyle="1">
    <w:name w:val="xl77"/>
    <w:basedOn w:val="744"/>
    <w:qFormat/>
    <w:pPr>
      <w:spacing w:beforeAutospacing="1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2" w:customStyle="1">
    <w:name w:val="xl78"/>
    <w:basedOn w:val="744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53" w:customStyle="1">
    <w:name w:val="xl79"/>
    <w:basedOn w:val="744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4" w:customStyle="1">
    <w:name w:val="Форма"/>
    <w:qFormat/>
    <w:rPr>
      <w:sz w:val="28"/>
      <w:szCs w:val="28"/>
    </w:rPr>
  </w:style>
  <w:style w:type="paragraph" w:styleId="955" w:customStyle="1">
    <w:name w:val="ConsPlusNormal"/>
    <w:qFormat/>
    <w:rPr>
      <w:sz w:val="28"/>
      <w:szCs w:val="28"/>
    </w:rPr>
  </w:style>
  <w:style w:type="paragraph" w:styleId="956" w:customStyle="1">
    <w:name w:val="font5"/>
    <w:basedOn w:val="744"/>
    <w:qFormat/>
    <w:pPr>
      <w:spacing w:beforeAutospacing="1" w:afterAutospacing="1"/>
    </w:pPr>
    <w:rPr>
      <w:color w:val="000000"/>
      <w:sz w:val="28"/>
      <w:szCs w:val="28"/>
    </w:rPr>
  </w:style>
  <w:style w:type="paragraph" w:styleId="957" w:customStyle="1">
    <w:name w:val="xl80"/>
    <w:basedOn w:val="744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58" w:customStyle="1">
    <w:name w:val="xl81"/>
    <w:basedOn w:val="744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59" w:customStyle="1">
    <w:name w:val="xl82"/>
    <w:basedOn w:val="744"/>
    <w:qFormat/>
    <w:pPr>
      <w:jc w:val="center"/>
      <w:spacing w:beforeAutospacing="1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960" w:customStyle="1">
    <w:name w:val="xl83"/>
    <w:basedOn w:val="74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1" w:customStyle="1">
    <w:name w:val="xl84"/>
    <w:basedOn w:val="74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2" w:customStyle="1">
    <w:name w:val="xl85"/>
    <w:basedOn w:val="74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63" w:customStyle="1">
    <w:name w:val="xl86"/>
    <w:basedOn w:val="74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64" w:customStyle="1">
    <w:name w:val="xl87"/>
    <w:basedOn w:val="74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65" w:customStyle="1">
    <w:name w:val="xl88"/>
    <w:basedOn w:val="74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66" w:customStyle="1">
    <w:name w:val="xl89"/>
    <w:basedOn w:val="74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7" w:customStyle="1">
    <w:name w:val="xl90"/>
    <w:basedOn w:val="74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8" w:customStyle="1">
    <w:name w:val="xl91"/>
    <w:basedOn w:val="74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9" w:customStyle="1">
    <w:name w:val="xl92"/>
    <w:basedOn w:val="74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70" w:customStyle="1">
    <w:name w:val="xl93"/>
    <w:basedOn w:val="74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71" w:customStyle="1">
    <w:name w:val="xl94"/>
    <w:basedOn w:val="744"/>
    <w:qFormat/>
    <w:pPr>
      <w:jc w:val="center"/>
      <w:spacing w:beforeAutospacing="1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2" w:customStyle="1">
    <w:name w:val="xl95"/>
    <w:basedOn w:val="74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3" w:customStyle="1">
    <w:name w:val="xl96"/>
    <w:basedOn w:val="74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4" w:customStyle="1">
    <w:name w:val="xl97"/>
    <w:basedOn w:val="74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75" w:customStyle="1">
    <w:name w:val="xl98"/>
    <w:basedOn w:val="744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76" w:customStyle="1">
    <w:name w:val="xl99"/>
    <w:basedOn w:val="744"/>
    <w:qFormat/>
    <w:pPr>
      <w:jc w:val="center"/>
      <w:spacing w:beforeAutospacing="1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7" w:customStyle="1">
    <w:name w:val="xl100"/>
    <w:basedOn w:val="744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8" w:customStyle="1">
    <w:name w:val="xl101"/>
    <w:basedOn w:val="74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9" w:customStyle="1">
    <w:name w:val="xl102"/>
    <w:basedOn w:val="74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0" w:customStyle="1">
    <w:name w:val="xl103"/>
    <w:basedOn w:val="744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1" w:customStyle="1">
    <w:name w:val="xl104"/>
    <w:basedOn w:val="74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2" w:customStyle="1">
    <w:name w:val="xl105"/>
    <w:basedOn w:val="74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3" w:customStyle="1">
    <w:name w:val="xl106"/>
    <w:basedOn w:val="74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84" w:customStyle="1">
    <w:name w:val="xl107"/>
    <w:basedOn w:val="74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5" w:customStyle="1">
    <w:name w:val="xl108"/>
    <w:basedOn w:val="744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6" w:customStyle="1">
    <w:name w:val="xl109"/>
    <w:basedOn w:val="744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7" w:customStyle="1">
    <w:name w:val="xl110"/>
    <w:basedOn w:val="744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8" w:customStyle="1">
    <w:name w:val="xl111"/>
    <w:basedOn w:val="744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9" w:customStyle="1">
    <w:name w:val="xl112"/>
    <w:basedOn w:val="744"/>
    <w:qFormat/>
    <w:pPr>
      <w:spacing w:beforeAutospacing="1" w:afterAutospacing="1"/>
      <w:shd w:val="clear" w:color="000000" w:fill="ffffff"/>
    </w:pPr>
    <w:rPr>
      <w:sz w:val="24"/>
      <w:szCs w:val="24"/>
    </w:rPr>
  </w:style>
  <w:style w:type="paragraph" w:styleId="990" w:customStyle="1">
    <w:name w:val="xl113"/>
    <w:basedOn w:val="744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1" w:customStyle="1">
    <w:name w:val="xl114"/>
    <w:basedOn w:val="744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2" w:customStyle="1">
    <w:name w:val="xl115"/>
    <w:basedOn w:val="744"/>
    <w:qFormat/>
    <w:pPr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93" w:customStyle="1">
    <w:name w:val="xl116"/>
    <w:basedOn w:val="744"/>
    <w:qFormat/>
    <w:pPr>
      <w:jc w:val="right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4" w:customStyle="1">
    <w:name w:val="xl117"/>
    <w:basedOn w:val="744"/>
    <w:qFormat/>
    <w:pPr>
      <w:jc w:val="right"/>
      <w:spacing w:beforeAutospacing="1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5" w:customStyle="1">
    <w:name w:val="xl118"/>
    <w:basedOn w:val="744"/>
    <w:qFormat/>
    <w:pPr>
      <w:spacing w:beforeAutospacing="1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6" w:customStyle="1">
    <w:name w:val="xl119"/>
    <w:basedOn w:val="744"/>
    <w:qFormat/>
    <w:pPr>
      <w:jc w:val="right"/>
      <w:spacing w:beforeAutospacing="1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7" w:customStyle="1">
    <w:name w:val="xl120"/>
    <w:basedOn w:val="744"/>
    <w:qFormat/>
    <w:pPr>
      <w:jc w:val="center"/>
      <w:spacing w:beforeAutospacing="1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8" w:customStyle="1">
    <w:name w:val="xl121"/>
    <w:basedOn w:val="744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9" w:customStyle="1">
    <w:name w:val="xl122"/>
    <w:basedOn w:val="744"/>
    <w:qFormat/>
    <w:pPr>
      <w:jc w:val="center"/>
      <w:spacing w:beforeAutospacing="1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0" w:customStyle="1">
    <w:name w:val="xl123"/>
    <w:basedOn w:val="74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01" w:customStyle="1">
    <w:name w:val="xl124"/>
    <w:basedOn w:val="74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02" w:customStyle="1">
    <w:name w:val="xl125"/>
    <w:basedOn w:val="744"/>
    <w:qFormat/>
    <w:pPr>
      <w:jc w:val="center"/>
      <w:spacing w:beforeAutospacing="1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3" w:customStyle="1">
    <w:name w:val="font6"/>
    <w:basedOn w:val="744"/>
    <w:qFormat/>
    <w:pPr>
      <w:spacing w:beforeAutospacing="1" w:afterAutospacing="1"/>
    </w:pPr>
    <w:rPr>
      <w:rFonts w:ascii="Tahoma" w:hAnsi="Tahoma" w:cs="Tahoma"/>
      <w:color w:val="000000"/>
      <w:sz w:val="18"/>
      <w:szCs w:val="18"/>
    </w:rPr>
  </w:style>
  <w:style w:type="paragraph" w:styleId="1004" w:customStyle="1">
    <w:name w:val="font7"/>
    <w:basedOn w:val="744"/>
    <w:qFormat/>
    <w:pPr>
      <w:spacing w:beforeAutospacing="1" w:afterAutospacing="1"/>
    </w:pPr>
    <w:rPr>
      <w:rFonts w:ascii="Tahoma" w:hAnsi="Tahoma" w:cs="Tahoma"/>
      <w:color w:val="000000"/>
      <w:sz w:val="18"/>
      <w:szCs w:val="18"/>
    </w:rPr>
  </w:style>
  <w:style w:type="paragraph" w:styleId="1005" w:customStyle="1">
    <w:name w:val="font8"/>
    <w:basedOn w:val="744"/>
    <w:qFormat/>
    <w:pPr>
      <w:spacing w:beforeAutospacing="1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styleId="1006">
    <w:name w:val="List Paragraph"/>
    <w:basedOn w:val="744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1007" w:customStyle="1">
    <w:name w:val="Содержимое врезки"/>
    <w:basedOn w:val="744"/>
    <w:qFormat/>
  </w:style>
  <w:style w:type="numbering" w:styleId="1008" w:customStyle="1">
    <w:name w:val="Нет списка1"/>
    <w:uiPriority w:val="99"/>
    <w:semiHidden/>
    <w:unhideWhenUsed/>
    <w:qFormat/>
  </w:style>
  <w:style w:type="numbering" w:styleId="1009" w:customStyle="1">
    <w:name w:val="Нет списка11"/>
    <w:uiPriority w:val="99"/>
    <w:semiHidden/>
    <w:unhideWhenUsed/>
    <w:qFormat/>
  </w:style>
  <w:style w:type="numbering" w:styleId="1010" w:customStyle="1">
    <w:name w:val="Нет списка111"/>
    <w:uiPriority w:val="99"/>
    <w:semiHidden/>
    <w:unhideWhenUsed/>
    <w:qFormat/>
  </w:style>
  <w:style w:type="numbering" w:styleId="1011" w:customStyle="1">
    <w:name w:val="Нет списка2"/>
    <w:uiPriority w:val="99"/>
    <w:semiHidden/>
    <w:unhideWhenUsed/>
    <w:qFormat/>
  </w:style>
  <w:style w:type="numbering" w:styleId="1012" w:customStyle="1">
    <w:name w:val="Нет списка3"/>
    <w:uiPriority w:val="99"/>
    <w:semiHidden/>
    <w:unhideWhenUsed/>
    <w:qFormat/>
  </w:style>
  <w:style w:type="numbering" w:styleId="1013" w:customStyle="1">
    <w:name w:val="Нет списка4"/>
    <w:uiPriority w:val="99"/>
    <w:semiHidden/>
    <w:unhideWhenUsed/>
    <w:qFormat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dc:description/>
  <dc:language>ru-RU</dc:language>
  <cp:lastModifiedBy>shumilova-yan</cp:lastModifiedBy>
  <cp:revision>72</cp:revision>
  <dcterms:created xsi:type="dcterms:W3CDTF">2025-10-10T07:42:00Z</dcterms:created>
  <dcterms:modified xsi:type="dcterms:W3CDTF">2026-09-17T12:34:37Z</dcterms:modified>
</cp:coreProperties>
</file>