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57"/>
        <w:ind w:right="0"/>
        <w:jc w:val="both"/>
        <w:rPr>
          <w:rFonts w:ascii="Times New Roman" w:hAnsi="Times New Roman"/>
          <w:sz w:val="24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-547369</wp:posOffset>
                </wp:positionV>
                <wp:extent cx="407035" cy="495300"/>
                <wp:effectExtent l="0" t="0" r="0" b="0"/>
                <wp:wrapNone/>
                <wp:docPr id="1" name="_x0000_s205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">
                <v:path textboxrect="0,0,0,0"/>
                <v:imagedata r:id="rId14" o:title=""/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-547369</wp:posOffset>
                </wp:positionV>
                <wp:extent cx="6285865" cy="1536700"/>
                <wp:effectExtent l="0" t="0" r="0" b="0"/>
                <wp:wrapNone/>
                <wp:docPr id="2" name="_x0000_s2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536700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807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811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11"/>
                                <w:spacing w:before="120" w:line="240" w:lineRule="auto"/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highlight w:val="none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763"/>
                                <w:jc w:val="center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17.09.2026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565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2;o:allowoverlap:true;o:allowincell:true;mso-position-horizontal-relative:text;margin-left:0.60pt;mso-position-horizontal:absolute;mso-position-vertical-relative:text;margin-top:-43.10pt;mso-position-vertical:absolute;width:494.95pt;height:121.00pt;mso-wrap-distance-left:9.00pt;mso-wrap-distance-top:0.00pt;mso-wrap-distance-right:9.00pt;mso-wrap-distance-bottom:0.00pt;" coordorigin="14,6" coordsize="98,26">
                <v:shape id="shape 2" o:spid="_x0000_s2" o:spt="202" type="#_x0000_t202" style="position:absolute;left:14;top:6;width:98;height:26;visibility:visible;" fillcolor="#FFFFFF" stroked="f">
                  <v:textbox inset="0,0,0,0">
                    <w:txbxContent>
                      <w:p>
                        <w:pPr>
                          <w:pStyle w:val="807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811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11"/>
                          <w:spacing w:before="120" w:line="240" w:lineRule="auto"/>
                          <w:rPr>
                            <w:sz w:val="28"/>
                            <w:szCs w:val="28"/>
                            <w:highlight w:val="none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  <w:r>
                          <w:rPr>
                            <w:sz w:val="28"/>
                            <w:szCs w:val="28"/>
                            <w:highlight w:val="none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763"/>
                          <w:jc w:val="center"/>
                        </w:pPr>
                        <w:r/>
                        <w:r/>
                      </w:p>
                    </w:txbxContent>
                  </v:textbox>
                </v:shape>
                <v:shape id="shape 3" o:spid="_x0000_s3" o:spt="202" type="#_x0000_t202" style="position:absolute;left:18;top:27;width:24;height:4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17.09.2026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  <v:shape id="shape 4" o:spid="_x0000_s4" o:spt="202" type="#_x0000_t202" style="position:absolute;left:92;top:27;width:17;height:4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565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57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57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80"/>
        <w:spacing w:line="240" w:lineRule="exact"/>
        <w:tabs>
          <w:tab w:val="left" w:pos="3686" w:leader="none"/>
          <w:tab w:val="left" w:pos="3828" w:leader="none"/>
          <w:tab w:val="left" w:pos="3969" w:leader="none"/>
        </w:tabs>
      </w:pPr>
      <w:r/>
      <w:r/>
    </w:p>
    <w:p>
      <w:pPr>
        <w:pStyle w:val="980"/>
        <w:spacing w:line="240" w:lineRule="exact"/>
        <w:tabs>
          <w:tab w:val="left" w:pos="3686" w:leader="none"/>
          <w:tab w:val="left" w:pos="3828" w:leader="none"/>
          <w:tab w:val="left" w:pos="3969" w:leader="none"/>
        </w:tabs>
        <w:rPr>
          <w:b w:val="0"/>
          <w:bCs w:val="0"/>
        </w:rPr>
      </w:pPr>
      <w:r>
        <w:rPr>
          <w:b w:val="0"/>
          <w:bCs w:val="0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980"/>
        <w:spacing w:line="240" w:lineRule="exact"/>
        <w:tabs>
          <w:tab w:val="left" w:pos="3686" w:leader="none"/>
          <w:tab w:val="left" w:pos="3828" w:leader="none"/>
          <w:tab w:val="left" w:pos="3969" w:leader="none"/>
        </w:tabs>
        <w:rPr>
          <w:b w:val="0"/>
          <w:bCs w:val="0"/>
        </w:rPr>
      </w:pPr>
      <w:r>
        <w:rPr>
          <w:b w:val="0"/>
          <w:bCs w:val="0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980"/>
        <w:spacing w:line="240" w:lineRule="exact"/>
        <w:tabs>
          <w:tab w:val="left" w:pos="3686" w:leader="none"/>
          <w:tab w:val="left" w:pos="3828" w:leader="none"/>
          <w:tab w:val="left" w:pos="3969" w:leader="none"/>
        </w:tabs>
        <w:rPr>
          <w:b w:val="0"/>
          <w:bCs w:val="0"/>
        </w:rPr>
      </w:pPr>
      <w:r>
        <w:rPr>
          <w:b/>
          <w:bCs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980"/>
        <w:jc w:val="center"/>
        <w:spacing w:line="240" w:lineRule="exact"/>
        <w:tabs>
          <w:tab w:val="left" w:pos="3686" w:leader="none"/>
          <w:tab w:val="left" w:pos="3828" w:leader="none"/>
          <w:tab w:val="left" w:pos="3969" w:leader="none"/>
        </w:tabs>
        <w:rPr>
          <w:b/>
          <w:bCs/>
        </w:rPr>
      </w:pPr>
      <w:r>
        <w:rPr>
          <w:b/>
        </w:rPr>
        <w:t xml:space="preserve">О внесении изменений </w:t>
      </w:r>
      <w:r>
        <w:rPr>
          <w:b/>
        </w:rPr>
        <w:t xml:space="preserve">в муниципальную программу </w:t>
      </w:r>
      <w:r>
        <w:rPr>
          <w:b/>
        </w:rPr>
        <w:t xml:space="preserve">«Управление </w:t>
      </w:r>
      <w:r>
        <w:rPr>
          <w:b/>
          <w:bCs/>
        </w:rPr>
      </w:r>
      <w:r>
        <w:rPr>
          <w:b/>
          <w:bCs/>
        </w:rPr>
      </w:r>
    </w:p>
    <w:p>
      <w:pPr>
        <w:pStyle w:val="980"/>
        <w:jc w:val="center"/>
        <w:spacing w:line="240" w:lineRule="exact"/>
        <w:tabs>
          <w:tab w:val="left" w:pos="3686" w:leader="none"/>
          <w:tab w:val="left" w:pos="3828" w:leader="none"/>
          <w:tab w:val="left" w:pos="3969" w:leader="none"/>
        </w:tabs>
        <w:rPr>
          <w:b/>
          <w:bCs/>
        </w:rPr>
      </w:pPr>
      <w:r>
        <w:rPr>
          <w:b/>
        </w:rPr>
        <w:t xml:space="preserve">муниципальным </w:t>
      </w:r>
      <w:r>
        <w:rPr>
          <w:b/>
        </w:rPr>
        <w:t xml:space="preserve">имуществом города Перми», </w:t>
      </w:r>
      <w:r>
        <w:rPr>
          <w:b/>
        </w:rPr>
        <w:t xml:space="preserve">утвержденную </w:t>
      </w:r>
      <w:r>
        <w:rPr>
          <w:b/>
          <w:bCs/>
        </w:rPr>
      </w:r>
      <w:r>
        <w:rPr>
          <w:b/>
          <w:bCs/>
        </w:rPr>
      </w:r>
    </w:p>
    <w:p>
      <w:pPr>
        <w:pStyle w:val="980"/>
        <w:jc w:val="center"/>
        <w:spacing w:line="240" w:lineRule="exact"/>
        <w:tabs>
          <w:tab w:val="left" w:pos="3686" w:leader="none"/>
          <w:tab w:val="left" w:pos="3828" w:leader="none"/>
          <w:tab w:val="left" w:pos="3969" w:leader="none"/>
        </w:tabs>
        <w:rPr>
          <w:b/>
          <w:bCs/>
        </w:rPr>
      </w:pPr>
      <w:r>
        <w:rPr>
          <w:b/>
        </w:rPr>
        <w:t xml:space="preserve">постановлением </w:t>
      </w:r>
      <w:r>
        <w:rPr>
          <w:b/>
        </w:rPr>
        <w:t xml:space="preserve">администрации города Перми </w:t>
      </w:r>
      <w:r>
        <w:rPr>
          <w:b/>
        </w:rPr>
        <w:t xml:space="preserve">от 17.10.2024 № 958 </w:t>
      </w:r>
      <w:r>
        <w:rPr>
          <w:b/>
          <w:bCs/>
        </w:rPr>
      </w:r>
      <w:r>
        <w:rPr>
          <w:b/>
          <w:bCs/>
        </w:rPr>
      </w:r>
    </w:p>
    <w:p>
      <w:pPr>
        <w:ind w:firstLine="0"/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0"/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0"/>
        <w:jc w:val="both"/>
        <w:spacing w:line="238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rFonts w:eastAsia="Calibri"/>
          <w:sz w:val="28"/>
          <w:szCs w:val="28"/>
          <w:lang w:eastAsia="en-U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Calibri"/>
          <w:sz w:val="28"/>
          <w:szCs w:val="28"/>
          <w:lang w:eastAsia="en-US"/>
        </w:rPr>
        <w:t xml:space="preserve">В соответствии с Бюджетным кодексом Российской Федерации, федеральными законами от 06 октября 2003 г. № 131-ФЗ «Об общих принципах организации местного самоуправления в Российской Федерации», </w:t>
      </w:r>
      <w:r>
        <w:rPr>
          <w:color w:val="000000"/>
          <w:sz w:val="28"/>
          <w:szCs w:val="28"/>
        </w:rPr>
        <w:t xml:space="preserve">от 20 марта 2025 г. </w:t>
        <w:br/>
        <w:t xml:space="preserve">№ 33-ФЗ «Об общих принципах организации местного самоуправления </w:t>
      </w:r>
      <w:r>
        <w:rPr>
          <w:color w:val="000000"/>
          <w:sz w:val="28"/>
          <w:szCs w:val="28"/>
        </w:rPr>
        <w:t xml:space="preserve">в единой системе публичной власти», </w:t>
      </w:r>
      <w:r>
        <w:rPr>
          <w:rFonts w:eastAsia="Calibri"/>
          <w:sz w:val="28"/>
          <w:szCs w:val="28"/>
          <w:lang w:eastAsia="en-US"/>
        </w:rPr>
        <w:t xml:space="preserve">решением Пермской городской Думы </w:t>
      </w:r>
      <w:r>
        <w:rPr>
          <w:rFonts w:eastAsia="Calibri"/>
          <w:sz w:val="28"/>
          <w:szCs w:val="28"/>
          <w:lang w:eastAsia="en-US"/>
        </w:rPr>
        <w:t xml:space="preserve">от 28 августа 2007 г. № 185 «Об утверждении Положения о бюджете </w:t>
      </w:r>
      <w:r>
        <w:rPr>
          <w:rFonts w:eastAsia="Calibri"/>
          <w:sz w:val="28"/>
          <w:szCs w:val="28"/>
          <w:lang w:eastAsia="en-US"/>
        </w:rPr>
        <w:t xml:space="preserve">и бюджетном процессе </w:t>
        <w:br/>
        <w:t xml:space="preserve">в городе Перми», Уставом города Перми, постановлением администрации города Перми от 02 сентября 2024 г. № 715 «Об утверждении Порядка разработки, реализации и оценки эффективности муниципальных программ города Перми» 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both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Calibri"/>
          <w:sz w:val="28"/>
          <w:szCs w:val="28"/>
          <w:lang w:eastAsia="en-US"/>
        </w:rPr>
        <w:t xml:space="preserve">администрация города Перми ПОСТАНОВЛЯЕТ: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1. Утвердить прилагаемые изменения в муниципальную программу «Управление муниципальным имуществом города Перми», утвержденную постановлением администрации города Перми от 17 октября 2024 г. № 958 </w:t>
      </w:r>
      <w:r>
        <w:rPr>
          <w:rFonts w:eastAsia="Calibri"/>
          <w:sz w:val="28"/>
          <w:szCs w:val="28"/>
          <w:lang w:eastAsia="en-US"/>
        </w:rPr>
        <w:t xml:space="preserve">(в ред. от 10.04.2025 № 242, от 14.07.2025 № 460, от 03.09.2025 № 612</w:t>
      </w:r>
      <w:r>
        <w:rPr>
          <w:rFonts w:eastAsia="Calibri"/>
          <w:sz w:val="28"/>
          <w:szCs w:val="28"/>
          <w:lang w:eastAsia="en-US"/>
        </w:rPr>
        <w:t xml:space="preserve">, от 20.10.2025 № 830, </w:t>
        <w:br/>
        <w:t xml:space="preserve">от 26.12.2025 № 1053, от 05.02.2026 № 52, от 26.03.2026 № 181, от 26.06.2026 </w:t>
        <w:br/>
        <w:t xml:space="preserve">№ 389</w:t>
      </w:r>
      <w:r>
        <w:rPr>
          <w:rFonts w:eastAsia="Calibri"/>
          <w:sz w:val="28"/>
          <w:szCs w:val="28"/>
          <w:lang w:eastAsia="en-US"/>
        </w:rPr>
        <w:t xml:space="preserve">)</w:t>
      </w:r>
      <w:r>
        <w:rPr>
          <w:rFonts w:eastAsia="Calibri"/>
          <w:sz w:val="28"/>
          <w:szCs w:val="28"/>
          <w:lang w:eastAsia="en-US"/>
        </w:rPr>
        <w:t xml:space="preserve">.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ind w:firstLine="709"/>
        <w:jc w:val="both"/>
        <w:tabs>
          <w:tab w:val="left" w:pos="567" w:leader="none"/>
        </w:tabs>
        <w:rPr>
          <w:rFonts w:eastAsia="Calibri"/>
          <w:sz w:val="28"/>
          <w:szCs w:val="28"/>
          <w:highlight w:val="yellow"/>
        </w:rPr>
      </w:pPr>
      <w:r>
        <w:rPr>
          <w:rFonts w:eastAsia="Calibri"/>
          <w:sz w:val="28"/>
          <w:szCs w:val="28"/>
          <w:highlight w:val="white"/>
          <w:lang w:eastAsia="en-US"/>
        </w:rPr>
        <w:t xml:space="preserve">2. </w:t>
      </w:r>
      <w:r>
        <w:rPr>
          <w:rFonts w:eastAsia="Calibri"/>
          <w:sz w:val="28"/>
          <w:szCs w:val="28"/>
          <w:lang w:eastAsia="en-US"/>
        </w:rPr>
        <w:t xml:space="preserve">Настоящее постановление в</w:t>
      </w:r>
      <w:r>
        <w:rPr>
          <w:rFonts w:eastAsia="Calibri"/>
          <w:sz w:val="28"/>
          <w:szCs w:val="28"/>
          <w:lang w:eastAsia="en-US"/>
        </w:rPr>
        <w:t xml:space="preserve">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eastAsia="Calibri"/>
          <w:sz w:val="28"/>
          <w:szCs w:val="28"/>
          <w:highlight w:val="yellow"/>
        </w:rPr>
      </w:r>
      <w:r>
        <w:rPr>
          <w:rFonts w:eastAsia="Calibri"/>
          <w:sz w:val="28"/>
          <w:szCs w:val="28"/>
          <w:highlight w:val="yellow"/>
        </w:rPr>
      </w:r>
    </w:p>
    <w:p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3. Управлению по общим вопро</w:t>
      </w:r>
      <w:r>
        <w:rPr>
          <w:rFonts w:eastAsia="Calibri"/>
          <w:sz w:val="28"/>
          <w:szCs w:val="28"/>
          <w:lang w:eastAsia="en-US"/>
        </w:rPr>
        <w:t xml:space="preserve">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 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посредством </w:t>
      </w:r>
      <w:r>
        <w:rPr>
          <w:rFonts w:eastAsia="Calibri"/>
          <w:sz w:val="28"/>
          <w:szCs w:val="28"/>
          <w:lang w:eastAsia="en-US"/>
        </w:rPr>
        <w:t xml:space="preserve">официального опубликования в сетевом издании «Официальный сайт муниципального образования город Пермь </w:t>
      </w:r>
      <w:r>
        <w:rPr>
          <w:rFonts w:eastAsia="Calibri"/>
          <w:sz w:val="28"/>
          <w:szCs w:val="28"/>
          <w:lang w:val="en-US" w:eastAsia="en-US"/>
        </w:rPr>
        <w:t xml:space="preserve">www</w:t>
      </w:r>
      <w:r>
        <w:rPr>
          <w:rFonts w:eastAsia="Calibri"/>
          <w:sz w:val="28"/>
          <w:szCs w:val="28"/>
          <w:lang w:eastAsia="en-US"/>
        </w:rPr>
        <w:t xml:space="preserve">.</w:t>
      </w:r>
      <w:r>
        <w:rPr>
          <w:rFonts w:eastAsia="Calibri"/>
          <w:sz w:val="28"/>
          <w:szCs w:val="28"/>
          <w:lang w:val="en-US" w:eastAsia="en-US"/>
        </w:rPr>
        <w:t xml:space="preserve">gorodperm</w:t>
      </w:r>
      <w:r>
        <w:rPr>
          <w:rFonts w:eastAsia="Calibri"/>
          <w:sz w:val="28"/>
          <w:szCs w:val="28"/>
          <w:lang w:eastAsia="en-US"/>
        </w:rPr>
        <w:t xml:space="preserve">.</w:t>
      </w:r>
      <w:r>
        <w:rPr>
          <w:rFonts w:eastAsia="Calibri"/>
          <w:sz w:val="28"/>
          <w:szCs w:val="28"/>
          <w:lang w:val="en-US" w:eastAsia="en-US"/>
        </w:rPr>
        <w:t xml:space="preserve">ru</w:t>
      </w:r>
      <w:r>
        <w:rPr>
          <w:rFonts w:eastAsia="Calibri"/>
          <w:sz w:val="28"/>
          <w:szCs w:val="28"/>
          <w:lang w:eastAsia="en-US"/>
        </w:rPr>
        <w:t xml:space="preserve">». 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5. Контроль за исполнением настоящего постановления возложить </w:t>
      </w:r>
      <w:r>
        <w:rPr>
          <w:rFonts w:eastAsia="Calibri"/>
          <w:sz w:val="28"/>
          <w:szCs w:val="28"/>
          <w:lang w:eastAsia="en-US"/>
        </w:rPr>
        <w:br/>
        <w:t xml:space="preserve">на заместителя главы администрации города Перми</w:t>
      </w:r>
      <w: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Лебедеву А.В.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20"/>
        <w:jc w:val="both"/>
        <w:spacing w:line="238" w:lineRule="exac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20"/>
        <w:jc w:val="center"/>
        <w:spacing w:line="238" w:lineRule="exac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20"/>
        <w:jc w:val="center"/>
        <w:spacing w:line="238" w:lineRule="exac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spacing w:line="240" w:lineRule="exact"/>
        <w:rPr>
          <w:sz w:val="28"/>
          <w:szCs w:val="28"/>
          <w:highlight w:val="none"/>
        </w:rPr>
        <w:sectPr>
          <w:headerReference w:type="default" r:id="rId9"/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cols w:num="1" w:sep="0" w:space="708" w:equalWidth="1"/>
          <w:docGrid w:linePitch="360"/>
          <w:titlePg/>
        </w:sectPr>
      </w:pPr>
      <w:r>
        <w:rPr>
          <w:sz w:val="28"/>
          <w:szCs w:val="28"/>
        </w:rPr>
        <w:t xml:space="preserve">Глава города Перми                                                                                     Э.О. Соснин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9921"/>
        <w:spacing w:line="240" w:lineRule="exac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УТВЕРЖДЕНЫ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9921"/>
        <w:spacing w:line="240" w:lineRule="exac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постановлением администрации 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9921"/>
        <w:spacing w:line="240" w:lineRule="exac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города Перми</w:t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9921"/>
        <w:spacing w:line="240" w:lineRule="exac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 </w:t>
      </w:r>
      <w:r>
        <w:rPr>
          <w:rFonts w:eastAsia="Calibri"/>
          <w:sz w:val="28"/>
          <w:szCs w:val="28"/>
          <w:lang w:eastAsia="en-US"/>
        </w:rPr>
        <w:t xml:space="preserve">17.09.2026 № 565</w:t>
      </w:r>
      <w:r>
        <w:rPr>
          <w:rFonts w:eastAsia="Calibri"/>
          <w:sz w:val="28"/>
          <w:szCs w:val="28"/>
          <w:lang w:eastAsia="en-US"/>
        </w:rPr>
      </w:r>
    </w:p>
    <w:p>
      <w:pPr>
        <w:ind w:firstLine="0"/>
        <w:spacing w:line="24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0"/>
        <w:spacing w:line="24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0"/>
        <w:spacing w:line="240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jc w:val="center"/>
        <w:spacing w:line="240" w:lineRule="auto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ИЗМЕНЕНИЯ</w:t>
      </w: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</w:p>
    <w:p>
      <w:pPr>
        <w:jc w:val="center"/>
        <w:spacing w:line="240" w:lineRule="exact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2"/>
          <w:lang w:eastAsia="en-US"/>
        </w:rPr>
        <w:t xml:space="preserve">в муниципальную программу </w:t>
      </w:r>
      <w:r>
        <w:rPr>
          <w:rFonts w:eastAsia="Calibri"/>
          <w:b/>
          <w:sz w:val="28"/>
          <w:szCs w:val="28"/>
          <w:lang w:eastAsia="en-US"/>
        </w:rPr>
        <w:t xml:space="preserve">«Управление муниципальным имуществом города Перми», </w:t>
      </w: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</w:p>
    <w:p>
      <w:pPr>
        <w:jc w:val="center"/>
        <w:spacing w:line="240" w:lineRule="exact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утвержденную постановлением администрации города Перми от 17 октября 2024 г. № 958</w:t>
      </w: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</w:p>
    <w:p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rPr>
          <w:rFonts w:eastAsia="Calibri"/>
          <w:sz w:val="28"/>
          <w:szCs w:val="28"/>
          <w:highlight w:val="none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 Раздел «Паспорт муниципальной программы «Управление муниципальным имуществом города Перми» изложить в следующей редакции:</w:t>
      </w:r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rFonts w:eastAsia="Calibri"/>
          <w:sz w:val="28"/>
          <w:szCs w:val="28"/>
          <w:highlight w:val="none"/>
          <w:lang w:eastAsia="en-US"/>
        </w:rPr>
      </w:r>
    </w:p>
    <w:p>
      <w:pPr>
        <w:jc w:val="center"/>
        <w:spacing w:line="238" w:lineRule="exact"/>
        <w:rPr>
          <w:b/>
          <w:sz w:val="28"/>
          <w:szCs w:val="28"/>
        </w:rPr>
      </w:pPr>
      <w:r>
        <w:rPr>
          <w:b w:val="0"/>
          <w:bCs w:val="0"/>
          <w:iCs/>
          <w:sz w:val="28"/>
          <w:szCs w:val="28"/>
        </w:rPr>
        <w:t xml:space="preserve">«</w:t>
      </w:r>
      <w:r>
        <w:rPr>
          <w:b/>
          <w:bCs/>
          <w:iCs/>
          <w:sz w:val="28"/>
          <w:szCs w:val="28"/>
        </w:rPr>
        <w:t xml:space="preserve">ПАСПОРТ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38" w:lineRule="exact"/>
        <w:rPr>
          <w:b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муниципальной программы </w:t>
      </w:r>
      <w:r>
        <w:rPr>
          <w:b/>
          <w:bCs/>
          <w:iCs/>
          <w:sz w:val="28"/>
          <w:szCs w:val="28"/>
        </w:rPr>
        <w:t xml:space="preserve">«Управление муниципальным имуществом города Перми»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0"/>
        <w:jc w:val="both"/>
        <w:spacing w:line="240" w:lineRule="auto"/>
        <w:rPr>
          <w:rFonts w:eastAsia="Calibri"/>
          <w:b w:val="0"/>
          <w:bCs w:val="0"/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 w:val="0"/>
          <w:bCs w:val="0"/>
          <w:sz w:val="28"/>
          <w:szCs w:val="28"/>
        </w:rPr>
      </w:r>
      <w:r>
        <w:rPr>
          <w:rFonts w:eastAsia="Calibri"/>
          <w:b w:val="0"/>
          <w:bCs w:val="0"/>
          <w:sz w:val="28"/>
          <w:szCs w:val="28"/>
        </w:rPr>
      </w:r>
    </w:p>
    <w:tbl>
      <w:tblPr>
        <w:tblW w:w="1499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600" w:firstRow="0" w:lastRow="0" w:firstColumn="0" w:lastColumn="0" w:noHBand="1" w:noVBand="1"/>
      </w:tblPr>
      <w:tblGrid>
        <w:gridCol w:w="1861"/>
        <w:gridCol w:w="414"/>
        <w:gridCol w:w="2976"/>
        <w:gridCol w:w="952"/>
        <w:gridCol w:w="1417"/>
        <w:gridCol w:w="1417"/>
        <w:gridCol w:w="1559"/>
        <w:gridCol w:w="1417"/>
        <w:gridCol w:w="1417"/>
        <w:gridCol w:w="1559"/>
      </w:tblGrid>
      <w:tr>
        <w:tblPrEx/>
        <w:trPr>
          <w:trHeight w:val="89"/>
        </w:trPr>
        <w:tc>
          <w:tcPr>
            <w:tcW w:w="1861" w:type="dxa"/>
            <w:textDirection w:val="lrTb"/>
            <w:noWrap w:val="false"/>
          </w:tcPr>
          <w:p>
            <w:pPr>
              <w:ind w:left="0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Куратор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программы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9"/>
            <w:tcW w:w="13129" w:type="dxa"/>
            <w:textDirection w:val="lrTb"/>
            <w:noWrap w:val="false"/>
          </w:tcPr>
          <w:p>
            <w:pPr>
              <w:pStyle w:val="798"/>
              <w:ind w:left="0"/>
              <w:rPr>
                <w:rFonts w:ascii="Times New Roman" w:hAnsi="Times New Roman"/>
                <w:sz w:val="32"/>
                <w:szCs w:val="32"/>
              </w:rPr>
              <w:suppressLineNumbers w:val="0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Лебедева А.В., заместитель главы администрации города Перми</w:t>
            </w:r>
            <w:r>
              <w:rPr>
                <w:rFonts w:ascii="Times New Roman" w:hAnsi="Times New Roman"/>
                <w:sz w:val="32"/>
                <w:szCs w:val="32"/>
              </w:rPr>
            </w:r>
            <w:r>
              <w:rPr>
                <w:rFonts w:ascii="Times New Roman" w:hAnsi="Times New Roman"/>
                <w:sz w:val="32"/>
                <w:szCs w:val="32"/>
              </w:rPr>
            </w:r>
          </w:p>
        </w:tc>
      </w:tr>
      <w:tr>
        <w:tblPrEx/>
        <w:trPr>
          <w:trHeight w:val="70"/>
        </w:trPr>
        <w:tc>
          <w:tcPr>
            <w:tcW w:w="1861" w:type="dxa"/>
            <w:textDirection w:val="lrTb"/>
            <w:noWrap w:val="false"/>
          </w:tcPr>
          <w:p>
            <w:pPr>
              <w:ind w:left="0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Ответственный исполнитель программы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9"/>
            <w:tcW w:w="13129" w:type="dxa"/>
            <w:textDirection w:val="lrTb"/>
            <w:noWrap w:val="false"/>
          </w:tcPr>
          <w:p>
            <w:pPr>
              <w:ind w:left="0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Хаткевич А.А., начальник департамента имущественных отношений администрации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378"/>
        </w:trPr>
        <w:tc>
          <w:tcPr>
            <w:tcW w:w="1861" w:type="dxa"/>
            <w:textDirection w:val="lrTb"/>
            <w:noWrap w:val="false"/>
          </w:tcPr>
          <w:p>
            <w:pPr>
              <w:ind w:left="0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Период реализации программы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9"/>
            <w:tcW w:w="13129" w:type="dxa"/>
            <w:textDirection w:val="lrTb"/>
            <w:noWrap w:val="false"/>
          </w:tcPr>
          <w:p>
            <w:pPr>
              <w:ind w:left="0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2025-2029 годы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58"/>
        </w:trPr>
        <w:tc>
          <w:tcPr>
            <w:tcW w:w="1861" w:type="dxa"/>
            <w:textDirection w:val="lrTb"/>
            <w:noWrap w:val="false"/>
          </w:tcPr>
          <w:p>
            <w:pPr>
              <w:ind w:left="0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Цели программы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9"/>
            <w:tcW w:w="13129" w:type="dxa"/>
            <w:textDirection w:val="lrTb"/>
            <w:noWrap w:val="false"/>
          </w:tcPr>
          <w:p>
            <w:pPr>
              <w:ind w:left="0"/>
              <w:jc w:val="both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Повышение </w:t>
            </w:r>
            <w:r>
              <w:rPr>
                <w:sz w:val="24"/>
                <w:szCs w:val="24"/>
              </w:rPr>
              <w:t xml:space="preserve">эффективности </w:t>
            </w:r>
            <w:r>
              <w:rPr>
                <w:sz w:val="24"/>
                <w:szCs w:val="24"/>
              </w:rPr>
              <w:t xml:space="preserve">управления муниципальным имуществом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0"/>
        </w:trPr>
        <w:tc>
          <w:tcPr>
            <w:tcW w:w="1861" w:type="dxa"/>
            <w:vMerge w:val="restart"/>
            <w:textDirection w:val="lrTb"/>
            <w:noWrap w:val="false"/>
          </w:tcPr>
          <w:p>
            <w:pPr>
              <w:ind w:left="0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Целевые показатели программы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14" w:type="dxa"/>
            <w:vMerge w:val="restart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целевого </w:t>
            </w:r>
            <w:r>
              <w:rPr>
                <w:sz w:val="24"/>
                <w:szCs w:val="24"/>
              </w:rPr>
              <w:t xml:space="preserve">показателя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952" w:type="dxa"/>
            <w:vMerge w:val="restart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Ед. изм.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6"/>
            <w:tcW w:w="8787" w:type="dxa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Значения целевых показателей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461"/>
        </w:trPr>
        <w:tc>
          <w:tcPr>
            <w:tcW w:w="186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41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2976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95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2025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(прогноз)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2026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(прогноз)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2027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(прогноз)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2028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(прогноз)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2029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(прогноз)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29"/>
        </w:trPr>
        <w:tc>
          <w:tcPr>
            <w:tcW w:w="186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414" w:type="dxa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ind w:left="0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Объем неналоговых доходов бюджета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952" w:type="dxa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тыс. руб.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2835" w:type="dxa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  <w:lang w:val="en-US"/>
              </w:rPr>
              <w:t xml:space="preserve">189 485,6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147 465,1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139 097,6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116 797,2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112 892,2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0"/>
        </w:trPr>
        <w:tc>
          <w:tcPr>
            <w:tcW w:w="1861" w:type="dxa"/>
            <w:vMerge w:val="restart"/>
            <w:textDirection w:val="lrTb"/>
            <w:noWrap w:val="false"/>
          </w:tcPr>
          <w:p>
            <w:pPr>
              <w:ind w:left="0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Объемы и источники </w:t>
            </w:r>
            <w:r>
              <w:rPr>
                <w:sz w:val="24"/>
                <w:szCs w:val="24"/>
              </w:rPr>
              <w:t xml:space="preserve">финансового </w:t>
            </w:r>
            <w:r>
              <w:rPr>
                <w:sz w:val="24"/>
                <w:szCs w:val="24"/>
              </w:rPr>
              <w:t xml:space="preserve">обеспечения программы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W w:w="4342" w:type="dxa"/>
            <w:vMerge w:val="restart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Источники финансового обеспечения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6"/>
            <w:tcW w:w="8787" w:type="dxa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Расходы (тыс. рублей)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74"/>
        </w:trPr>
        <w:tc>
          <w:tcPr>
            <w:tcMar>
              <w:left w:w="7" w:type="dxa"/>
              <w:top w:w="12" w:type="dxa"/>
              <w:right w:w="7" w:type="dxa"/>
              <w:bottom w:w="12" w:type="dxa"/>
            </w:tcMar>
            <w:tcW w:w="186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3"/>
            <w:tcMar>
              <w:left w:w="7" w:type="dxa"/>
              <w:top w:w="12" w:type="dxa"/>
              <w:right w:w="7" w:type="dxa"/>
              <w:bottom w:w="12" w:type="dxa"/>
            </w:tcMar>
            <w:tcW w:w="4342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2025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2026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2027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2028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2029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Итого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0"/>
        </w:trPr>
        <w:tc>
          <w:tcPr>
            <w:tcW w:w="186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W w:w="4342" w:type="dxa"/>
            <w:textDirection w:val="lrTb"/>
            <w:noWrap w:val="false"/>
          </w:tcPr>
          <w:p>
            <w:pPr>
              <w:ind w:left="0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Всего, в том числе: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341 478,1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423 538,2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306 817,1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302 465,6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</w:r>
            <w:r>
              <w:rPr>
                <w:sz w:val="24"/>
              </w:rPr>
              <w:t xml:space="preserve">302 465,6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  <w:highlight w:val="white"/>
              </w:rPr>
              <w:suppressLineNumbers w:val="0"/>
            </w:pPr>
            <w:r>
              <w:rPr>
                <w:sz w:val="24"/>
                <w:szCs w:val="24"/>
                <w:highlight w:val="none"/>
              </w:rPr>
              <w:t xml:space="preserve">1 676 764,6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0"/>
        </w:trPr>
        <w:tc>
          <w:tcPr>
            <w:tcW w:w="186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3"/>
            <w:tcW w:w="4342" w:type="dxa"/>
            <w:textDirection w:val="lrTb"/>
            <w:noWrap w:val="false"/>
          </w:tcPr>
          <w:p>
            <w:pPr>
              <w:ind w:left="0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341 478,1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423 538,2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306 817,1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302 465,6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</w:r>
            <w:r>
              <w:rPr>
                <w:sz w:val="24"/>
              </w:rPr>
              <w:t xml:space="preserve">302 465,6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  <w:highlight w:val="white"/>
              </w:rPr>
              <w:suppressLineNumbers w:val="0"/>
            </w:pPr>
            <w:r>
              <w:rPr>
                <w:sz w:val="24"/>
                <w:szCs w:val="24"/>
                <w:highlight w:val="none"/>
              </w:rPr>
              <w:t xml:space="preserve">1 676 764,6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</w:tbl>
    <w:p>
      <w:pPr>
        <w:ind w:firstLine="709"/>
        <w:jc w:val="both"/>
        <w:spacing w:before="0" w:beforeAutospacing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spacing w:before="0" w:beforeAutospacing="0"/>
        <w:rPr>
          <w:rFonts w:eastAsia="Calibri"/>
          <w:sz w:val="28"/>
          <w:szCs w:val="28"/>
          <w:highlight w:val="none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 </w:t>
      </w:r>
      <w:r>
        <w:rPr>
          <w:rFonts w:eastAsia="Calibri"/>
          <w:sz w:val="28"/>
          <w:szCs w:val="28"/>
          <w:lang w:eastAsia="en-US"/>
        </w:rPr>
        <w:t xml:space="preserve">Раздел «Паспорт комплекса процессных мероприятий 1 «Осуществление полномочий собственника муниципального имущества города Перми в порядке, предусмотренном действующим законодательством» изложить в следующей редакции:</w:t>
      </w:r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rFonts w:eastAsia="Calibri"/>
          <w:sz w:val="28"/>
          <w:szCs w:val="28"/>
          <w:highlight w:val="none"/>
          <w:lang w:eastAsia="en-US"/>
        </w:rPr>
      </w:r>
    </w:p>
    <w:p>
      <w:pPr>
        <w:jc w:val="center"/>
        <w:spacing w:line="238" w:lineRule="exact"/>
        <w:rPr>
          <w:b/>
          <w:bCs/>
          <w:sz w:val="28"/>
          <w:szCs w:val="28"/>
          <w:highlight w:val="none"/>
        </w:rPr>
      </w:pPr>
      <w:r>
        <w:rPr>
          <w:b w:val="0"/>
          <w:bCs w:val="0"/>
          <w:iCs/>
          <w:sz w:val="28"/>
          <w:szCs w:val="28"/>
        </w:rPr>
        <w:t xml:space="preserve">«</w:t>
      </w:r>
      <w:r>
        <w:rPr>
          <w:b/>
          <w:bCs/>
          <w:iCs/>
          <w:sz w:val="28"/>
          <w:szCs w:val="28"/>
        </w:rPr>
        <w:t xml:space="preserve">ПАСПОРТ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spacing w:line="238" w:lineRule="exact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комплекса процессных мероприятий 1 </w:t>
      </w:r>
      <w:r>
        <w:rPr>
          <w:b/>
          <w:bCs/>
          <w:iCs/>
          <w:sz w:val="28"/>
          <w:szCs w:val="28"/>
        </w:rPr>
        <w:t xml:space="preserve">«Осуществление полномочий собственника муниципального имущества </w:t>
      </w:r>
      <w:r>
        <w:rPr>
          <w:b/>
          <w:bCs/>
          <w:iCs/>
          <w:sz w:val="28"/>
          <w:szCs w:val="28"/>
        </w:rPr>
      </w:r>
      <w:r>
        <w:rPr>
          <w:b/>
          <w:bCs/>
          <w:iCs/>
          <w:sz w:val="28"/>
          <w:szCs w:val="28"/>
        </w:rPr>
      </w:r>
    </w:p>
    <w:p>
      <w:pPr>
        <w:jc w:val="center"/>
        <w:spacing w:line="238" w:lineRule="exact"/>
        <w:rPr>
          <w:b/>
          <w:b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города Перми в порядке, предусмотренном действующим законодательством»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tbl>
      <w:tblPr>
        <w:tblW w:w="4998" w:type="pct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4"/>
        <w:gridCol w:w="566"/>
        <w:gridCol w:w="4250"/>
        <w:gridCol w:w="850"/>
        <w:gridCol w:w="1133"/>
        <w:gridCol w:w="426"/>
        <w:gridCol w:w="708"/>
        <w:gridCol w:w="709"/>
        <w:gridCol w:w="425"/>
        <w:gridCol w:w="992"/>
        <w:gridCol w:w="284"/>
        <w:gridCol w:w="1133"/>
        <w:gridCol w:w="143"/>
        <w:gridCol w:w="1535"/>
      </w:tblGrid>
      <w:tr>
        <w:tblPrEx/>
        <w:trPr>
          <w:trHeight w:val="323"/>
        </w:trPr>
        <w:tc>
          <w:tcPr>
            <w:tcMar>
              <w:left w:w="4" w:type="dxa"/>
              <w:top w:w="6" w:type="dxa"/>
              <w:right w:w="4" w:type="dxa"/>
              <w:bottom w:w="6" w:type="dxa"/>
            </w:tcMar>
            <w:tcW w:w="1704" w:type="dxa"/>
            <w:vMerge w:val="restart"/>
            <w:textDirection w:val="lrTb"/>
            <w:noWrap w:val="false"/>
          </w:tcPr>
          <w:p>
            <w:pPr>
              <w:ind w:left="57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Ответственный исполнитель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13"/>
            <w:tcMar>
              <w:left w:w="4" w:type="dxa"/>
              <w:top w:w="6" w:type="dxa"/>
              <w:right w:w="4" w:type="dxa"/>
              <w:bottom w:w="6" w:type="dxa"/>
            </w:tcMar>
            <w:tcW w:w="13154" w:type="dxa"/>
            <w:vMerge w:val="restart"/>
            <w:textDirection w:val="lrTb"/>
            <w:noWrap w:val="false"/>
          </w:tcPr>
          <w:p>
            <w:pPr>
              <w:ind w:left="57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Хаткевич А.А., начальник департамента имущественных отношений администрации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323"/>
        </w:trPr>
        <w:tc>
          <w:tcPr>
            <w:tcMar>
              <w:left w:w="4" w:type="dxa"/>
              <w:top w:w="6" w:type="dxa"/>
              <w:right w:w="4" w:type="dxa"/>
              <w:bottom w:w="6" w:type="dxa"/>
            </w:tcMar>
            <w:tcW w:w="1704" w:type="dxa"/>
            <w:vMerge w:val="restart"/>
            <w:textDirection w:val="lrTb"/>
            <w:noWrap w:val="false"/>
          </w:tcPr>
          <w:p>
            <w:pPr>
              <w:ind w:left="57"/>
              <w:rPr>
                <w:sz w:val="32"/>
                <w:szCs w:val="32"/>
                <w:vertAlign w:val="superscript"/>
              </w:rPr>
              <w:suppressLineNumbers w:val="0"/>
            </w:pPr>
            <w:r>
              <w:rPr>
                <w:sz w:val="24"/>
                <w:szCs w:val="24"/>
              </w:rPr>
              <w:t xml:space="preserve">Показатели комплекса процессных мероприятий</w:t>
            </w:r>
            <w:r>
              <w:rPr>
                <w:sz w:val="32"/>
                <w:szCs w:val="32"/>
                <w:vertAlign w:val="superscript"/>
              </w:rPr>
            </w:r>
            <w:r>
              <w:rPr>
                <w:sz w:val="32"/>
                <w:szCs w:val="32"/>
                <w:vertAlign w:val="superscript"/>
              </w:rPr>
            </w:r>
          </w:p>
        </w:tc>
        <w:tc>
          <w:tcPr>
            <w:tcMar>
              <w:left w:w="4" w:type="dxa"/>
              <w:top w:w="6" w:type="dxa"/>
              <w:right w:w="4" w:type="dxa"/>
              <w:bottom w:w="6" w:type="dxa"/>
            </w:tcMar>
            <w:tcW w:w="566" w:type="dxa"/>
            <w:vMerge w:val="restart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4" w:type="dxa"/>
              <w:top w:w="6" w:type="dxa"/>
              <w:right w:w="4" w:type="dxa"/>
              <w:bottom w:w="6" w:type="dxa"/>
            </w:tcMar>
            <w:tcW w:w="4250" w:type="dxa"/>
            <w:vMerge w:val="restart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Наименование показателя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Ед. изм.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10"/>
            <w:tcMar>
              <w:left w:w="4" w:type="dxa"/>
              <w:top w:w="6" w:type="dxa"/>
              <w:right w:w="4" w:type="dxa"/>
              <w:bottom w:w="6" w:type="dxa"/>
            </w:tcMar>
            <w:tcW w:w="7488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Значения показателей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498"/>
        </w:trPr>
        <w:tc>
          <w:tcPr>
            <w:tcW w:w="170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56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4250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850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Mar>
              <w:left w:w="4" w:type="dxa"/>
              <w:top w:w="6" w:type="dxa"/>
              <w:right w:w="4" w:type="dxa"/>
              <w:bottom w:w="6" w:type="dxa"/>
            </w:tcMar>
            <w:tcW w:w="1559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2025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(прогноз)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Mar>
              <w:left w:w="4" w:type="dxa"/>
              <w:top w:w="6" w:type="dxa"/>
              <w:right w:w="4" w:type="dxa"/>
              <w:bottom w:w="6" w:type="dxa"/>
            </w:tcMar>
            <w:tcW w:w="1417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2026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(прогноз)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Mar>
              <w:left w:w="4" w:type="dxa"/>
              <w:top w:w="6" w:type="dxa"/>
              <w:right w:w="4" w:type="dxa"/>
              <w:bottom w:w="6" w:type="dxa"/>
            </w:tcMar>
            <w:tcW w:w="1417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2027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(прогноз)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1417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2028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(прогноз)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1678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2029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(прогноз)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970"/>
        </w:trPr>
        <w:tc>
          <w:tcPr>
            <w:tcW w:w="170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4" w:type="dxa"/>
              <w:top w:w="6" w:type="dxa"/>
              <w:right w:w="4" w:type="dxa"/>
              <w:bottom w:w="6" w:type="dxa"/>
            </w:tcMar>
            <w:tcW w:w="566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4" w:type="dxa"/>
              <w:top w:w="6" w:type="dxa"/>
              <w:right w:w="4" w:type="dxa"/>
              <w:bottom w:w="6" w:type="dxa"/>
            </w:tcMar>
            <w:tcW w:w="4250" w:type="dxa"/>
            <w:textDirection w:val="lrTb"/>
            <w:noWrap w:val="false"/>
          </w:tcPr>
          <w:p>
            <w:pPr>
              <w:ind w:left="57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Площадь обслуживаемых нежилых помещений, входящих в муниципальную казну, содержание которых осуществляется за счет средств бюджета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  <w:highlight w:val="white"/>
              </w:rPr>
              <w:suppressLineNumbers w:val="0"/>
            </w:pPr>
            <w:r>
              <w:rPr>
                <w:sz w:val="24"/>
                <w:szCs w:val="24"/>
                <w:highlight w:val="white"/>
              </w:rPr>
              <w:t xml:space="preserve">тыс. кв.м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ind w:left="57"/>
              <w:jc w:val="center"/>
              <w:rPr>
                <w:sz w:val="24"/>
                <w:szCs w:val="24"/>
                <w:highlight w:val="white"/>
              </w:rPr>
              <w:suppressLineNumbers w:val="0"/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Mar>
              <w:left w:w="4" w:type="dxa"/>
              <w:top w:w="6" w:type="dxa"/>
              <w:right w:w="4" w:type="dxa"/>
              <w:bottom w:w="6" w:type="dxa"/>
            </w:tcMar>
            <w:tcW w:w="1559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58,1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Mar>
              <w:left w:w="4" w:type="dxa"/>
              <w:top w:w="6" w:type="dxa"/>
              <w:right w:w="4" w:type="dxa"/>
              <w:bottom w:w="6" w:type="dxa"/>
            </w:tcMar>
            <w:tcW w:w="1417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56,8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Mar>
              <w:left w:w="4" w:type="dxa"/>
              <w:top w:w="6" w:type="dxa"/>
              <w:right w:w="4" w:type="dxa"/>
              <w:bottom w:w="6" w:type="dxa"/>
            </w:tcMar>
            <w:tcW w:w="1417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56,8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1417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56,8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1678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56,8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752"/>
        </w:trPr>
        <w:tc>
          <w:tcPr>
            <w:tcW w:w="170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4" w:type="dxa"/>
              <w:top w:w="6" w:type="dxa"/>
              <w:right w:w="4" w:type="dxa"/>
              <w:bottom w:w="6" w:type="dxa"/>
            </w:tcMar>
            <w:tcW w:w="566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4" w:type="dxa"/>
              <w:top w:w="6" w:type="dxa"/>
              <w:right w:w="4" w:type="dxa"/>
              <w:bottom w:w="6" w:type="dxa"/>
            </w:tcMar>
            <w:tcW w:w="4250" w:type="dxa"/>
            <w:textDirection w:val="lrTb"/>
            <w:noWrap w:val="false"/>
          </w:tcPr>
          <w:p>
            <w:pPr>
              <w:ind w:left="57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Объем задолженности в бюджет города Перми по арендной плате за имущество (без учета пени, штрафов)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млн руб.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Mar>
              <w:left w:w="4" w:type="dxa"/>
              <w:top w:w="6" w:type="dxa"/>
              <w:right w:w="4" w:type="dxa"/>
              <w:bottom w:w="6" w:type="dxa"/>
            </w:tcMar>
            <w:tcW w:w="1559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62,3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Mar>
              <w:left w:w="4" w:type="dxa"/>
              <w:top w:w="6" w:type="dxa"/>
              <w:right w:w="4" w:type="dxa"/>
              <w:bottom w:w="6" w:type="dxa"/>
            </w:tcMar>
            <w:tcW w:w="1417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  <w:highlight w:val="white"/>
              </w:rPr>
              <w:suppressLineNumbers w:val="0"/>
            </w:pPr>
            <w:r>
              <w:rPr>
                <w:sz w:val="24"/>
                <w:szCs w:val="24"/>
                <w:highlight w:val="white"/>
              </w:rPr>
              <w:t xml:space="preserve">48,9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Mar>
              <w:left w:w="4" w:type="dxa"/>
              <w:top w:w="6" w:type="dxa"/>
              <w:right w:w="4" w:type="dxa"/>
              <w:bottom w:w="6" w:type="dxa"/>
            </w:tcMar>
            <w:tcW w:w="1417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  <w:highlight w:val="white"/>
              </w:rPr>
              <w:suppressLineNumbers w:val="0"/>
            </w:pPr>
            <w:r>
              <w:rPr>
                <w:sz w:val="24"/>
                <w:szCs w:val="24"/>
                <w:highlight w:val="white"/>
              </w:rPr>
              <w:t xml:space="preserve">39,1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W w:w="1417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  <w:highlight w:val="white"/>
              </w:rPr>
              <w:suppressLineNumbers w:val="0"/>
            </w:pPr>
            <w:r>
              <w:rPr>
                <w:sz w:val="24"/>
                <w:szCs w:val="24"/>
                <w:highlight w:val="white"/>
              </w:rPr>
              <w:t xml:space="preserve">31,3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gridSpan w:val="2"/>
            <w:tcW w:w="1678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  <w:highlight w:val="white"/>
              </w:rPr>
              <w:suppressLineNumbers w:val="0"/>
            </w:pPr>
            <w:r>
              <w:rPr>
                <w:sz w:val="24"/>
                <w:szCs w:val="24"/>
                <w:highlight w:val="white"/>
              </w:rPr>
              <w:t xml:space="preserve">25,0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463"/>
        </w:trPr>
        <w:tc>
          <w:tcPr>
            <w:tcW w:w="170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4" w:type="dxa"/>
              <w:top w:w="6" w:type="dxa"/>
              <w:right w:w="4" w:type="dxa"/>
              <w:bottom w:w="6" w:type="dxa"/>
            </w:tcMar>
            <w:tcW w:w="566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4" w:type="dxa"/>
              <w:top w:w="6" w:type="dxa"/>
              <w:right w:w="4" w:type="dxa"/>
              <w:bottom w:w="6" w:type="dxa"/>
            </w:tcMar>
            <w:tcW w:w="4250" w:type="dxa"/>
            <w:textDirection w:val="lrTb"/>
            <w:noWrap w:val="false"/>
          </w:tcPr>
          <w:p>
            <w:pPr>
              <w:ind w:left="57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Количество объектов, приведенных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57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в нормативное состояние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ед.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Mar>
              <w:left w:w="4" w:type="dxa"/>
              <w:top w:w="6" w:type="dxa"/>
              <w:right w:w="4" w:type="dxa"/>
              <w:bottom w:w="6" w:type="dxa"/>
            </w:tcMar>
            <w:tcW w:w="1559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18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Mar>
              <w:left w:w="4" w:type="dxa"/>
              <w:top w:w="6" w:type="dxa"/>
              <w:right w:w="4" w:type="dxa"/>
              <w:bottom w:w="6" w:type="dxa"/>
            </w:tcMar>
            <w:tcW w:w="1417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42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Mar>
              <w:left w:w="4" w:type="dxa"/>
              <w:top w:w="6" w:type="dxa"/>
              <w:right w:w="4" w:type="dxa"/>
              <w:bottom w:w="6" w:type="dxa"/>
            </w:tcMar>
            <w:tcW w:w="1417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1417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1678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5"/>
        </w:trPr>
        <w:tc>
          <w:tcPr>
            <w:tcW w:w="1704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4" w:type="dxa"/>
              <w:top w:w="6" w:type="dxa"/>
              <w:right w:w="4" w:type="dxa"/>
              <w:bottom w:w="6" w:type="dxa"/>
            </w:tcMar>
            <w:tcW w:w="566" w:type="dxa"/>
            <w:vMerge w:val="restart"/>
            <w:textDirection w:val="lrTb"/>
            <w:noWrap w:val="false"/>
          </w:tcPr>
          <w:p>
            <w:pPr>
              <w:ind w:left="57"/>
              <w:jc w:val="center"/>
              <w:rPr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color w:val="000000" w:themeColor="text1"/>
                <w:sz w:val="24"/>
                <w:szCs w:val="24"/>
              </w:rPr>
              <w:t xml:space="preserve">4</w:t>
            </w:r>
            <w:r>
              <w:rPr>
                <w:color w:val="000000" w:themeColor="text1"/>
                <w:sz w:val="24"/>
                <w:szCs w:val="24"/>
              </w:rPr>
            </w:r>
            <w:r>
              <w:rPr>
                <w:color w:val="000000" w:themeColor="text1"/>
                <w:sz w:val="24"/>
                <w:szCs w:val="24"/>
              </w:rPr>
            </w:r>
          </w:p>
        </w:tc>
        <w:tc>
          <w:tcPr>
            <w:tcMar>
              <w:left w:w="4" w:type="dxa"/>
              <w:top w:w="6" w:type="dxa"/>
              <w:right w:w="4" w:type="dxa"/>
              <w:bottom w:w="6" w:type="dxa"/>
            </w:tcMar>
            <w:tcW w:w="4250" w:type="dxa"/>
            <w:vMerge w:val="restart"/>
            <w:textDirection w:val="lrTb"/>
            <w:noWrap w:val="false"/>
          </w:tcPr>
          <w:p>
            <w:pPr>
              <w:ind w:left="57"/>
              <w:rPr>
                <w:color w:val="000000" w:themeColor="text1"/>
                <w:sz w:val="32"/>
                <w:szCs w:val="32"/>
                <w:highlight w:val="white"/>
              </w:rPr>
              <w:suppressLineNumbers w:val="0"/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Снижение площади пустующих помещений, находящихся в составе имущества муниципальной казны более 1 года, на 15 % ежегодно</w:t>
            </w:r>
            <w:r>
              <w:rPr>
                <w:color w:val="000000" w:themeColor="text1"/>
                <w:sz w:val="32"/>
                <w:szCs w:val="32"/>
                <w:highlight w:val="white"/>
              </w:rPr>
            </w:r>
            <w:r>
              <w:rPr>
                <w:color w:val="000000" w:themeColor="text1"/>
                <w:sz w:val="32"/>
                <w:szCs w:val="32"/>
                <w:highlight w:val="white"/>
              </w:rPr>
            </w:r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ind w:left="57"/>
              <w:jc w:val="center"/>
              <w:rPr>
                <w:color w:val="000000" w:themeColor="text1"/>
                <w:sz w:val="32"/>
                <w:szCs w:val="32"/>
                <w:highlight w:val="white"/>
              </w:rPr>
              <w:suppressLineNumbers w:val="0"/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тыс. кв.м.</w:t>
            </w:r>
            <w:r>
              <w:rPr>
                <w:color w:val="000000" w:themeColor="text1"/>
                <w:sz w:val="32"/>
                <w:szCs w:val="32"/>
                <w:highlight w:val="white"/>
              </w:rPr>
            </w:r>
            <w:r>
              <w:rPr>
                <w:color w:val="000000" w:themeColor="text1"/>
                <w:sz w:val="32"/>
                <w:szCs w:val="32"/>
                <w:highlight w:val="white"/>
              </w:rPr>
            </w:r>
          </w:p>
        </w:tc>
        <w:tc>
          <w:tcPr>
            <w:gridSpan w:val="2"/>
            <w:tcMar>
              <w:left w:w="4" w:type="dxa"/>
              <w:top w:w="6" w:type="dxa"/>
              <w:right w:w="4" w:type="dxa"/>
              <w:bottom w:w="6" w:type="dxa"/>
            </w:tcMar>
            <w:tcW w:w="1559" w:type="dxa"/>
            <w:vMerge w:val="restart"/>
            <w:textDirection w:val="lrTb"/>
            <w:noWrap w:val="false"/>
          </w:tcPr>
          <w:p>
            <w:pPr>
              <w:ind w:left="57"/>
              <w:jc w:val="center"/>
              <w:rPr>
                <w:color w:val="000000" w:themeColor="text1"/>
                <w:highlight w:val="yellow"/>
              </w:rPr>
              <w:suppressLineNumbers w:val="0"/>
            </w:pPr>
            <w:r>
              <w:rPr>
                <w:color w:val="000000" w:themeColor="text1"/>
                <w:sz w:val="24"/>
                <w:szCs w:val="24"/>
              </w:rPr>
              <w:t xml:space="preserve">103,7</w:t>
            </w:r>
            <w:r>
              <w:rPr>
                <w:color w:val="000000" w:themeColor="text1"/>
                <w:highlight w:val="yellow"/>
              </w:rPr>
            </w:r>
            <w:r>
              <w:rPr>
                <w:color w:val="000000" w:themeColor="text1"/>
                <w:highlight w:val="yellow"/>
              </w:rPr>
            </w:r>
          </w:p>
        </w:tc>
        <w:tc>
          <w:tcPr>
            <w:gridSpan w:val="2"/>
            <w:tcMar>
              <w:left w:w="4" w:type="dxa"/>
              <w:top w:w="6" w:type="dxa"/>
              <w:right w:w="4" w:type="dxa"/>
              <w:bottom w:w="6" w:type="dxa"/>
            </w:tcMar>
            <w:tcW w:w="1417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</w:pPr>
            <w:r>
              <w:rPr>
                <w:sz w:val="24"/>
              </w:rPr>
              <w:t xml:space="preserve">87,6</w:t>
            </w:r>
            <w:r/>
          </w:p>
        </w:tc>
        <w:tc>
          <w:tcPr>
            <w:gridSpan w:val="2"/>
            <w:tcMar>
              <w:left w:w="4" w:type="dxa"/>
              <w:top w:w="6" w:type="dxa"/>
              <w:right w:w="4" w:type="dxa"/>
              <w:bottom w:w="6" w:type="dxa"/>
            </w:tcMar>
            <w:tcW w:w="1417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</w:pPr>
            <w:r>
              <w:rPr>
                <w:sz w:val="24"/>
              </w:rPr>
              <w:t xml:space="preserve">74,5</w:t>
            </w:r>
            <w:r/>
          </w:p>
        </w:tc>
        <w:tc>
          <w:tcPr>
            <w:gridSpan w:val="2"/>
            <w:tcW w:w="1417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</w:pPr>
            <w:r>
              <w:rPr>
                <w:sz w:val="24"/>
              </w:rPr>
              <w:t xml:space="preserve">63,3</w:t>
            </w:r>
            <w:r/>
          </w:p>
        </w:tc>
        <w:tc>
          <w:tcPr>
            <w:gridSpan w:val="2"/>
            <w:tcW w:w="1678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</w:pPr>
            <w:r>
              <w:rPr>
                <w:sz w:val="24"/>
              </w:rPr>
              <w:t xml:space="preserve">53,8</w:t>
            </w:r>
            <w:r/>
          </w:p>
        </w:tc>
      </w:tr>
      <w:tr>
        <w:tblPrEx/>
        <w:trPr>
          <w:trHeight w:val="193"/>
        </w:trPr>
        <w:tc>
          <w:tcPr>
            <w:tcMar>
              <w:left w:w="4" w:type="dxa"/>
              <w:top w:w="6" w:type="dxa"/>
              <w:right w:w="4" w:type="dxa"/>
              <w:bottom w:w="6" w:type="dxa"/>
            </w:tcMar>
            <w:tcW w:w="1704" w:type="dxa"/>
            <w:vMerge w:val="restart"/>
            <w:textDirection w:val="lrTb"/>
            <w:noWrap w:val="false"/>
          </w:tcPr>
          <w:p>
            <w:pPr>
              <w:ind w:left="57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Объемы </w:t>
            </w:r>
            <w:r>
              <w:rPr>
                <w:sz w:val="24"/>
                <w:szCs w:val="24"/>
              </w:rPr>
              <w:br/>
              <w:t xml:space="preserve">и источники финансового обеспечения комплекса процессных мероприятий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Mar>
              <w:left w:w="4" w:type="dxa"/>
              <w:top w:w="6" w:type="dxa"/>
              <w:right w:w="4" w:type="dxa"/>
              <w:bottom w:w="6" w:type="dxa"/>
            </w:tcMar>
            <w:tcW w:w="5666" w:type="dxa"/>
            <w:vMerge w:val="restart"/>
            <w:textDirection w:val="lrTb"/>
            <w:noWrap w:val="false"/>
          </w:tcPr>
          <w:p>
            <w:pPr>
              <w:ind w:left="57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Источники финансового обеспечения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10"/>
            <w:tcMar>
              <w:left w:w="4" w:type="dxa"/>
              <w:top w:w="6" w:type="dxa"/>
              <w:right w:w="4" w:type="dxa"/>
              <w:bottom w:w="6" w:type="dxa"/>
            </w:tcMar>
            <w:tcW w:w="7488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Расходы (тыс. руб.)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498"/>
        </w:trPr>
        <w:tc>
          <w:tcPr>
            <w:tcW w:w="170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W w:w="5666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4" w:type="dxa"/>
              <w:top w:w="6" w:type="dxa"/>
              <w:right w:w="4" w:type="dxa"/>
              <w:bottom w:w="6" w:type="dxa"/>
            </w:tcMar>
            <w:tcW w:w="1133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2025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Mar>
              <w:left w:w="4" w:type="dxa"/>
              <w:top w:w="6" w:type="dxa"/>
              <w:right w:w="4" w:type="dxa"/>
              <w:bottom w:w="6" w:type="dxa"/>
            </w:tcMar>
            <w:tcW w:w="1134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2026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Mar>
              <w:left w:w="4" w:type="dxa"/>
              <w:top w:w="6" w:type="dxa"/>
              <w:right w:w="4" w:type="dxa"/>
              <w:bottom w:w="6" w:type="dxa"/>
            </w:tcMar>
            <w:tcW w:w="1134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2027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Mar>
              <w:left w:w="4" w:type="dxa"/>
              <w:top w:w="6" w:type="dxa"/>
              <w:right w:w="4" w:type="dxa"/>
              <w:bottom w:w="6" w:type="dxa"/>
            </w:tcMar>
            <w:tcW w:w="1276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2028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1276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2029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Итого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66"/>
        </w:trPr>
        <w:tc>
          <w:tcPr>
            <w:tcW w:w="170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Mar>
              <w:left w:w="4" w:type="dxa"/>
              <w:top w:w="6" w:type="dxa"/>
              <w:right w:w="4" w:type="dxa"/>
              <w:bottom w:w="6" w:type="dxa"/>
            </w:tcMar>
            <w:tcW w:w="5666" w:type="dxa"/>
            <w:textDirection w:val="lrTb"/>
            <w:noWrap w:val="false"/>
          </w:tcPr>
          <w:p>
            <w:pPr>
              <w:ind w:left="57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Всего, в том числе: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4" w:type="dxa"/>
              <w:top w:w="6" w:type="dxa"/>
              <w:right w:w="4" w:type="dxa"/>
              <w:bottom w:w="6" w:type="dxa"/>
            </w:tcMar>
            <w:tcW w:w="1133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163 349,6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Mar>
              <w:left w:w="4" w:type="dxa"/>
              <w:top w:w="6" w:type="dxa"/>
              <w:right w:w="4" w:type="dxa"/>
              <w:bottom w:w="6" w:type="dxa"/>
            </w:tcMar>
            <w:tcW w:w="1134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218 352,1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Mar>
              <w:left w:w="4" w:type="dxa"/>
              <w:top w:w="6" w:type="dxa"/>
              <w:right w:w="4" w:type="dxa"/>
              <w:bottom w:w="6" w:type="dxa"/>
            </w:tcMar>
            <w:tcW w:w="1134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104 729,1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Mar>
              <w:left w:w="4" w:type="dxa"/>
              <w:top w:w="6" w:type="dxa"/>
              <w:right w:w="4" w:type="dxa"/>
              <w:bottom w:w="6" w:type="dxa"/>
            </w:tcMar>
            <w:tcW w:w="1276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104 720,0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1276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104 720,0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  <w:highlight w:val="white"/>
              </w:rPr>
              <w:suppressLineNumbers w:val="0"/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none"/>
              </w:rPr>
              <w:t xml:space="preserve">695 870,8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58"/>
        </w:trPr>
        <w:tc>
          <w:tcPr>
            <w:tcW w:w="1704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Mar>
              <w:left w:w="4" w:type="dxa"/>
              <w:top w:w="6" w:type="dxa"/>
              <w:right w:w="4" w:type="dxa"/>
              <w:bottom w:w="6" w:type="dxa"/>
            </w:tcMar>
            <w:tcW w:w="5666" w:type="dxa"/>
            <w:textDirection w:val="lrTb"/>
            <w:noWrap w:val="false"/>
          </w:tcPr>
          <w:p>
            <w:pPr>
              <w:ind w:left="57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Mar>
              <w:left w:w="4" w:type="dxa"/>
              <w:top w:w="6" w:type="dxa"/>
              <w:right w:w="4" w:type="dxa"/>
              <w:bottom w:w="6" w:type="dxa"/>
            </w:tcMar>
            <w:tcW w:w="1133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163 349,6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Mar>
              <w:left w:w="4" w:type="dxa"/>
              <w:top w:w="6" w:type="dxa"/>
              <w:right w:w="4" w:type="dxa"/>
              <w:bottom w:w="6" w:type="dxa"/>
            </w:tcMar>
            <w:tcW w:w="1134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218 352,1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Mar>
              <w:left w:w="4" w:type="dxa"/>
              <w:top w:w="6" w:type="dxa"/>
              <w:right w:w="4" w:type="dxa"/>
              <w:bottom w:w="6" w:type="dxa"/>
            </w:tcMar>
            <w:tcW w:w="1134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104 729,1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Mar>
              <w:left w:w="4" w:type="dxa"/>
              <w:top w:w="6" w:type="dxa"/>
              <w:right w:w="4" w:type="dxa"/>
              <w:bottom w:w="6" w:type="dxa"/>
            </w:tcMar>
            <w:tcW w:w="1276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104 720,0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W w:w="1276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104 720,0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35" w:type="dxa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  <w:highlight w:val="white"/>
              </w:rPr>
              <w:suppressLineNumbers w:val="0"/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none"/>
              </w:rPr>
              <w:t xml:space="preserve">695 870,8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</w:tbl>
    <w:p>
      <w:pPr>
        <w:ind w:firstLine="0"/>
        <w:jc w:val="both"/>
        <w:spacing w:before="0" w:beforeAutospacing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  <w:r>
        <w:rPr>
          <w:rFonts w:eastAsia="Calibri"/>
          <w:sz w:val="28"/>
          <w:szCs w:val="28"/>
          <w:lang w:eastAsia="en-US"/>
        </w:rPr>
      </w:r>
    </w:p>
    <w:p>
      <w:pPr>
        <w:ind w:firstLine="709"/>
        <w:jc w:val="both"/>
        <w:spacing w:before="0" w:beforeAutospacing="0"/>
        <w:rPr>
          <w:rFonts w:eastAsia="Calibri"/>
          <w:sz w:val="28"/>
          <w:szCs w:val="28"/>
          <w:highlight w:val="none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3. </w:t>
      </w:r>
      <w:r>
        <w:rPr>
          <w:rFonts w:eastAsia="Calibri"/>
          <w:sz w:val="28"/>
          <w:szCs w:val="28"/>
          <w:lang w:eastAsia="en-US"/>
        </w:rPr>
        <w:t xml:space="preserve">Раздел «Паспорт комплекса процессных мероприятий 2 «Обеспечение деятельности департамента имущественных отношений администрации города Перми и подведомственного ему учреждения»</w:t>
      </w:r>
      <w: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изложить в следующей редакции:</w:t>
      </w:r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rFonts w:eastAsia="Calibri"/>
          <w:sz w:val="28"/>
          <w:szCs w:val="28"/>
          <w:highlight w:val="none"/>
          <w:lang w:eastAsia="en-US"/>
        </w:rPr>
      </w:r>
    </w:p>
    <w:p>
      <w:pPr>
        <w:jc w:val="center"/>
        <w:spacing w:line="238" w:lineRule="exact"/>
        <w:rPr>
          <w:b/>
          <w:bCs/>
          <w:sz w:val="28"/>
          <w:szCs w:val="28"/>
          <w:highlight w:val="none"/>
        </w:rPr>
      </w:pPr>
      <w:r>
        <w:rPr>
          <w:b w:val="0"/>
          <w:bCs w:val="0"/>
          <w:iCs/>
          <w:sz w:val="28"/>
          <w:szCs w:val="28"/>
        </w:rPr>
        <w:t xml:space="preserve">«</w:t>
      </w:r>
      <w:r>
        <w:rPr>
          <w:b/>
          <w:bCs/>
          <w:iCs/>
          <w:sz w:val="28"/>
          <w:szCs w:val="28"/>
        </w:rPr>
        <w:t xml:space="preserve">ПАСПОРТ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spacing w:line="238" w:lineRule="exact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комплекса процессных мероприятий 2 </w:t>
      </w:r>
      <w:r>
        <w:rPr>
          <w:b/>
          <w:bCs/>
          <w:iCs/>
          <w:sz w:val="28"/>
          <w:szCs w:val="28"/>
        </w:rPr>
        <w:t xml:space="preserve">«Обеспечение деятельности департамента имущественных отношений администрации города Перми и подведомственного ему учреждения»</w:t>
      </w:r>
      <w:r>
        <w:rPr>
          <w:b/>
          <w:bCs/>
          <w:iCs/>
          <w:sz w:val="28"/>
          <w:szCs w:val="28"/>
        </w:rPr>
      </w:r>
      <w:r>
        <w:rPr>
          <w:b/>
          <w:bCs/>
          <w:iCs/>
          <w:sz w:val="28"/>
          <w:szCs w:val="28"/>
        </w:rPr>
      </w:r>
    </w:p>
    <w:p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4974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592"/>
        <w:gridCol w:w="4461"/>
        <w:gridCol w:w="1418"/>
        <w:gridCol w:w="1305"/>
        <w:gridCol w:w="1388"/>
        <w:gridCol w:w="1276"/>
        <w:gridCol w:w="1276"/>
        <w:gridCol w:w="1275"/>
      </w:tblGrid>
      <w:tr>
        <w:tblPrEx/>
        <w:trPr>
          <w:trHeight w:val="276"/>
        </w:trPr>
        <w:tc>
          <w:tcPr>
            <w:tcW w:w="2592" w:type="dxa"/>
            <w:vMerge w:val="restart"/>
            <w:textDirection w:val="lrTb"/>
            <w:noWrap w:val="false"/>
          </w:tcPr>
          <w:p>
            <w:pPr>
              <w:ind w:left="0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Ответственный исполнитель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7"/>
            <w:tcW w:w="12399" w:type="dxa"/>
            <w:vMerge w:val="restart"/>
            <w:textDirection w:val="lrTb"/>
            <w:noWrap w:val="false"/>
          </w:tcPr>
          <w:p>
            <w:pPr>
              <w:ind w:left="0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Хаткевич А.А., начальник департамента имущественных отношений администрации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93"/>
        </w:trPr>
        <w:tc>
          <w:tcPr>
            <w:tcW w:w="2592" w:type="dxa"/>
            <w:vMerge w:val="restart"/>
            <w:textDirection w:val="lrTb"/>
            <w:noWrap w:val="false"/>
          </w:tcPr>
          <w:p>
            <w:pPr>
              <w:ind w:left="0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Объемы </w:t>
            </w:r>
            <w:r>
              <w:rPr>
                <w:sz w:val="24"/>
                <w:szCs w:val="24"/>
              </w:rPr>
              <w:t xml:space="preserve">и источники финансового </w:t>
            </w:r>
            <w:r>
              <w:rPr>
                <w:sz w:val="24"/>
                <w:szCs w:val="24"/>
              </w:rPr>
              <w:t xml:space="preserve">обеспечения комплекса процессных мероприятий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461" w:type="dxa"/>
            <w:vMerge w:val="restart"/>
            <w:textDirection w:val="lrTb"/>
            <w:noWrap w:val="false"/>
          </w:tcPr>
          <w:p>
            <w:pPr>
              <w:ind w:left="0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Источники финансового обеспечения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6"/>
            <w:tcW w:w="7938" w:type="dxa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Расходы (тыс. руб.)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498"/>
        </w:trPr>
        <w:tc>
          <w:tcPr>
            <w:tcW w:w="2592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461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2025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05" w:type="dxa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2026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88" w:type="dxa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2027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2028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2029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Итого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66"/>
        </w:trPr>
        <w:tc>
          <w:tcPr>
            <w:tcW w:w="2592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461" w:type="dxa"/>
            <w:textDirection w:val="lrTb"/>
            <w:noWrap w:val="false"/>
          </w:tcPr>
          <w:p>
            <w:pPr>
              <w:ind w:left="0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Всего, в том числе: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178 128,5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0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none"/>
              </w:rPr>
              <w:t xml:space="preserve">205 186,1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388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202 088,0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197 745,6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197 745,6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980 893,8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61"/>
        </w:trPr>
        <w:tc>
          <w:tcPr>
            <w:tcW w:w="2592" w:type="dxa"/>
            <w:vAlign w:val="center"/>
            <w:vMerge w:val="continue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461" w:type="dxa"/>
            <w:textDirection w:val="lrTb"/>
            <w:noWrap w:val="false"/>
          </w:tcPr>
          <w:p>
            <w:pPr>
              <w:ind w:left="0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178 128,5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0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none"/>
              </w:rPr>
              <w:t xml:space="preserve">205 186,1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388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202 088,0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197 745,6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197 745,6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980 893,8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ind w:left="0" w:right="0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rPr>
          <w:rFonts w:eastAsia="Calibri"/>
          <w:sz w:val="28"/>
          <w:szCs w:val="28"/>
          <w:highlight w:val="none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4. </w:t>
      </w:r>
      <w:r>
        <w:rPr>
          <w:rFonts w:eastAsia="Calibri"/>
          <w:sz w:val="28"/>
          <w:szCs w:val="28"/>
          <w:lang w:eastAsia="en-US"/>
        </w:rPr>
        <w:t xml:space="preserve">Раздел «Перечень целевых показателей программы, показателей структурных элементов программы «Управление муниципальным имуществом города Перми» изложить в следующей редакции:</w:t>
      </w:r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rFonts w:eastAsia="Calibri"/>
          <w:sz w:val="28"/>
          <w:szCs w:val="28"/>
          <w:highlight w:val="none"/>
          <w:lang w:eastAsia="en-US"/>
        </w:rPr>
      </w:r>
    </w:p>
    <w:p>
      <w:pPr>
        <w:jc w:val="center"/>
        <w:spacing w:line="238" w:lineRule="exact"/>
        <w:widowControl w:val="off"/>
        <w:rPr>
          <w:b/>
          <w:bCs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</w:rPr>
        <w:t xml:space="preserve">«</w:t>
      </w:r>
      <w:r>
        <w:rPr>
          <w:b/>
          <w:sz w:val="28"/>
          <w:szCs w:val="28"/>
        </w:rPr>
        <w:t xml:space="preserve">ПЕРЕЧЕНЬ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spacing w:line="238" w:lineRule="exact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целевых показателей программы, показателей структурных </w:t>
      </w:r>
      <w:r>
        <w:rPr>
          <w:b/>
          <w:sz w:val="28"/>
          <w:szCs w:val="28"/>
        </w:rPr>
        <w:t xml:space="preserve">элементов программы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spacing w:line="238" w:lineRule="exact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«Управление муниципальным имуществом города Перми»</w:t>
      </w:r>
      <w:r>
        <w:rPr>
          <w:b/>
          <w:bCs/>
          <w:iCs/>
          <w:sz w:val="28"/>
          <w:szCs w:val="28"/>
        </w:rPr>
      </w:r>
      <w:r>
        <w:rPr>
          <w:b/>
          <w:bCs/>
          <w:iCs/>
          <w:sz w:val="28"/>
          <w:szCs w:val="28"/>
        </w:rPr>
      </w:r>
    </w:p>
    <w:p>
      <w:pPr>
        <w:ind w:firstLine="709"/>
        <w:jc w:val="both"/>
        <w:widowControl w:val="off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  <w:r>
        <w:rPr>
          <w:rFonts w:eastAsia="Calibri"/>
          <w:b/>
          <w:sz w:val="28"/>
          <w:szCs w:val="28"/>
          <w:lang w:eastAsia="en-US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4393"/>
        <w:gridCol w:w="1276"/>
        <w:gridCol w:w="2156"/>
        <w:gridCol w:w="1510"/>
        <w:gridCol w:w="1159"/>
        <w:gridCol w:w="1333"/>
        <w:gridCol w:w="1333"/>
        <w:gridCol w:w="1330"/>
      </w:tblGrid>
      <w:tr>
        <w:tblPrEx/>
        <w:trPr>
          <w:tblHeader/>
        </w:trPr>
        <w:tc>
          <w:tcPr>
            <w:tcW w:w="488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393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целевого показателя </w:t>
            </w:r>
            <w:r>
              <w:rPr>
                <w:sz w:val="24"/>
                <w:szCs w:val="24"/>
              </w:rPr>
              <w:t xml:space="preserve"> программы, показателей </w:t>
            </w:r>
            <w:r>
              <w:rPr>
                <w:sz w:val="24"/>
                <w:szCs w:val="24"/>
              </w:rPr>
              <w:t xml:space="preserve">структурных элементов программы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Единица измерения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56" w:type="dxa"/>
            <w:vMerge w:val="restart"/>
            <w:textDirection w:val="lrTb"/>
            <w:noWrap w:val="false"/>
          </w:tcPr>
          <w:p>
            <w:pPr>
              <w:ind w:right="-24"/>
              <w:jc w:val="center"/>
              <w:spacing w:line="240" w:lineRule="auto"/>
              <w:widowControl w:val="off"/>
              <w:rPr>
                <w:vertAlign w:val="superscript"/>
              </w:rPr>
            </w:pPr>
            <w:r>
              <w:rPr>
                <w:sz w:val="24"/>
                <w:szCs w:val="24"/>
              </w:rPr>
              <w:t xml:space="preserve">ФО (ФП)</w:t>
            </w:r>
            <w:r>
              <w:rPr>
                <w:vertAlign w:val="superscript"/>
              </w:rPr>
            </w:r>
            <w:r>
              <w:rPr>
                <w:vertAlign w:val="superscript"/>
              </w:rPr>
            </w:r>
          </w:p>
        </w:tc>
        <w:tc>
          <w:tcPr>
            <w:gridSpan w:val="5"/>
            <w:tcW w:w="6665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Значения показателей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10"/>
          <w:tblHeader/>
        </w:trPr>
        <w:tc>
          <w:tcPr>
            <w:tcW w:w="488" w:type="dxa"/>
            <w:vMerge w:val="continue"/>
            <w:textDirection w:val="lrTb"/>
            <w:noWrap w:val="false"/>
          </w:tcPr>
          <w:p>
            <w:pPr>
              <w:widowControl w:val="off"/>
            </w:pPr>
            <w:r/>
            <w:r/>
          </w:p>
        </w:tc>
        <w:tc>
          <w:tcPr>
            <w:tcW w:w="4393" w:type="dxa"/>
            <w:vMerge w:val="continue"/>
            <w:textDirection w:val="lrTb"/>
            <w:noWrap w:val="false"/>
          </w:tcPr>
          <w:p>
            <w:pPr>
              <w:widowControl w:val="off"/>
            </w:pPr>
            <w:r/>
            <w:r/>
          </w:p>
        </w:tc>
        <w:tc>
          <w:tcPr>
            <w:tcW w:w="1276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2156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1510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(прогноз)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159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(прогноз)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33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2027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(прогноз)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33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2028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(прогноз)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30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2029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(прогноз)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4393"/>
        <w:gridCol w:w="1276"/>
        <w:gridCol w:w="2156"/>
        <w:gridCol w:w="1510"/>
        <w:gridCol w:w="1159"/>
        <w:gridCol w:w="1333"/>
        <w:gridCol w:w="1333"/>
        <w:gridCol w:w="1330"/>
      </w:tblGrid>
      <w:tr>
        <w:tblPrEx/>
        <w:trPr>
          <w:trHeight w:val="205"/>
          <w:tblHeader/>
        </w:trPr>
        <w:tc>
          <w:tcPr>
            <w:tcW w:w="488" w:type="dxa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393" w:type="dxa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56" w:type="dxa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10" w:type="dxa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159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33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33" w:type="dxa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30" w:type="dxa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341"/>
        </w:trPr>
        <w:tc>
          <w:tcPr>
            <w:gridSpan w:val="7"/>
            <w:tcW w:w="12315" w:type="dxa"/>
            <w:textDirection w:val="lrTb"/>
            <w:noWrap w:val="false"/>
          </w:tcPr>
          <w:p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города Перми «</w:t>
            </w:r>
            <w:r>
              <w:rPr>
                <w:bCs/>
                <w:iCs/>
                <w:sz w:val="24"/>
                <w:szCs w:val="24"/>
              </w:rPr>
              <w:t xml:space="preserve">Управление муниципальным имуществом города Перми</w:t>
            </w:r>
            <w:r>
              <w:rPr>
                <w:b/>
                <w:bCs/>
                <w:iCs/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33" w:type="dxa"/>
            <w:textDirection w:val="lrTb"/>
            <w:noWrap w:val="false"/>
          </w:tcPr>
          <w:p>
            <w:pPr>
              <w:spacing w:line="240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30" w:type="dxa"/>
            <w:textDirection w:val="lrTb"/>
            <w:noWrap w:val="false"/>
          </w:tcPr>
          <w:p>
            <w:pPr>
              <w:spacing w:line="240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64"/>
        </w:trPr>
        <w:tc>
          <w:tcPr>
            <w:tcW w:w="488" w:type="dxa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393" w:type="dxa"/>
            <w:textDirection w:val="lrTb"/>
            <w:noWrap w:val="false"/>
          </w:tcPr>
          <w:p>
            <w:pPr>
              <w:spacing w:line="240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неналоговых доходов бюджета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тыс.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руб.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56" w:type="dxa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департамент имущественных отношений администрации города Перми (далее – ДИО)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10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189 485,6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159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147 465,1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33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139 097,6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33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116 797,2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30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112 892,2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73"/>
        </w:trPr>
        <w:tc>
          <w:tcPr>
            <w:gridSpan w:val="9"/>
            <w:tcW w:w="14978" w:type="dxa"/>
            <w:textDirection w:val="lrTb"/>
            <w:noWrap w:val="false"/>
          </w:tcPr>
          <w:p>
            <w:pPr>
              <w:spacing w:line="240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Комплексы процессных мероприятий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413"/>
        </w:trPr>
        <w:tc>
          <w:tcPr>
            <w:gridSpan w:val="9"/>
            <w:tcW w:w="14978" w:type="dxa"/>
            <w:textDirection w:val="lrTb"/>
            <w:noWrap w:val="false"/>
          </w:tcPr>
          <w:p>
            <w:pPr>
              <w:spacing w:line="240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Комплекс процессных мероприятий 1 «</w:t>
            </w:r>
            <w:r>
              <w:rPr>
                <w:bCs/>
                <w:iCs/>
                <w:sz w:val="24"/>
                <w:szCs w:val="24"/>
              </w:rPr>
              <w:t xml:space="preserve">Осуществление полномочий собственника муниципального имущества города Перми в порядке, предусмотренном действующим законодательством»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262"/>
        </w:trPr>
        <w:tc>
          <w:tcPr>
            <w:tcW w:w="48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393" w:type="dxa"/>
            <w:textDirection w:val="lrTb"/>
            <w:noWrap w:val="false"/>
          </w:tcPr>
          <w:p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Площадь обслуживаемых нежилых помещений, входящих в муниципальную казну, содержание которых осуществляется за счет средств бюджета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тыс. кв. м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jc w:val="center"/>
              <w:spacing w:line="24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2156" w:type="dxa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ДИО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spacing w:line="240" w:lineRule="auto"/>
            </w:pPr>
            <w:r/>
            <w:r/>
          </w:p>
        </w:tc>
        <w:tc>
          <w:tcPr>
            <w:tcW w:w="1510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58,1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spacing w:line="240" w:lineRule="auto"/>
            </w:pPr>
            <w:r/>
            <w:r/>
          </w:p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159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56</w:t>
            </w:r>
            <w:r>
              <w:rPr>
                <w:sz w:val="24"/>
                <w:szCs w:val="24"/>
              </w:rPr>
              <w:t xml:space="preserve">,8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33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56,8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33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56,8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30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56,8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415"/>
        </w:trPr>
        <w:tc>
          <w:tcPr>
            <w:tcW w:w="488" w:type="dxa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393" w:type="dxa"/>
            <w:textDirection w:val="lrTb"/>
            <w:noWrap w:val="false"/>
          </w:tcPr>
          <w:p>
            <w:pPr>
              <w:spacing w:line="240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задолженности в бюджет города Перми по арендной плате за имущество (без учета пени, штрафов)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млн руб.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56" w:type="dxa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10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62,3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159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48,9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33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39,1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33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31,3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30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488" w:type="dxa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393" w:type="dxa"/>
            <w:textDirection w:val="lrTb"/>
            <w:noWrap w:val="false"/>
          </w:tcPr>
          <w:p>
            <w:pPr>
              <w:spacing w:line="240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объектов, приведенных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spacing w:line="240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нормативное состояние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56" w:type="dxa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510" w:type="dxa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159" w:type="dxa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</w:pPr>
            <w:r>
              <w:rPr>
                <w:sz w:val="24"/>
                <w:szCs w:val="24"/>
                <w:lang w:val="en-US"/>
              </w:rPr>
              <w:t xml:space="preserve">42</w:t>
            </w:r>
            <w:r/>
          </w:p>
        </w:tc>
        <w:tc>
          <w:tcPr>
            <w:tcW w:w="1333" w:type="dxa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33" w:type="dxa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30" w:type="dxa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488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line="240" w:lineRule="auto"/>
              <w:widowControl w:val="off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4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W w:w="4393" w:type="dxa"/>
            <w:vMerge w:val="restart"/>
            <w:textDirection w:val="lrTb"/>
            <w:noWrap w:val="false"/>
          </w:tcPr>
          <w:p>
            <w:pPr>
              <w:spacing w:line="240" w:lineRule="auto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Снижение площади пустующих помещений, находящихся в составе имущества муниципальной казны более 1 года, 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spacing w:line="240" w:lineRule="auto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на 15 % ежегодно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тыс. кв. м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jc w:val="center"/>
              <w:spacing w:line="240" w:lineRule="auto"/>
              <w:widowControl w:val="off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2156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ДИО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  <w:p>
            <w:pPr>
              <w:jc w:val="center"/>
              <w:spacing w:line="240" w:lineRule="auto"/>
              <w:widowControl w:val="off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  <w:tc>
          <w:tcPr>
            <w:tcW w:w="1510" w:type="dxa"/>
            <w:vMerge w:val="restart"/>
            <w:textDirection w:val="lrTb"/>
            <w:noWrap w:val="false"/>
          </w:tcPr>
          <w:p>
            <w:pPr>
              <w:jc w:val="center"/>
              <w:spacing w:line="240" w:lineRule="auto"/>
              <w:rPr>
                <w:color w:val="000000" w:themeColor="text1"/>
                <w:highlight w:val="yellow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103,7</w:t>
            </w:r>
            <w:r>
              <w:rPr>
                <w:color w:val="000000" w:themeColor="text1"/>
                <w:highlight w:val="yellow"/>
              </w:rPr>
            </w:r>
            <w:r>
              <w:rPr>
                <w:color w:val="000000" w:themeColor="text1"/>
                <w:highlight w:val="yellow"/>
              </w:rPr>
            </w:r>
          </w:p>
        </w:tc>
        <w:tc>
          <w:tcPr>
            <w:tcW w:w="1159" w:type="dxa"/>
            <w:vMerge w:val="restart"/>
            <w:textDirection w:val="lrTb"/>
            <w:noWrap w:val="false"/>
          </w:tcPr>
          <w:p>
            <w:pPr>
              <w:ind w:left="57"/>
              <w:jc w:val="center"/>
              <w:rPr>
                <w:color w:val="000000" w:themeColor="text1"/>
                <w:highlight w:val="yellow"/>
              </w:rPr>
              <w:suppressLineNumbers w:val="0"/>
            </w:pPr>
            <w:r>
              <w:rPr>
                <w:color w:val="000000" w:themeColor="text1"/>
                <w:sz w:val="24"/>
                <w:szCs w:val="24"/>
                <w:highlight w:val="none"/>
              </w:rPr>
              <w:t xml:space="preserve">87,6</w:t>
            </w:r>
            <w:r>
              <w:rPr>
                <w:color w:val="000000" w:themeColor="text1"/>
                <w:highlight w:val="yellow"/>
              </w:rPr>
            </w:r>
            <w:r>
              <w:rPr>
                <w:color w:val="000000" w:themeColor="text1"/>
                <w:highlight w:val="yellow"/>
              </w:rPr>
            </w:r>
          </w:p>
        </w:tc>
        <w:tc>
          <w:tcPr>
            <w:tcW w:w="1333" w:type="dxa"/>
            <w:vMerge w:val="restart"/>
            <w:textDirection w:val="lrTb"/>
            <w:noWrap w:val="false"/>
          </w:tcPr>
          <w:p>
            <w:pPr>
              <w:ind w:left="57"/>
              <w:jc w:val="center"/>
              <w:rPr>
                <w:color w:val="000000" w:themeColor="text1"/>
                <w:highlight w:val="yellow"/>
              </w:rPr>
              <w:suppressLineNumbers w:val="0"/>
            </w:pPr>
            <w:r>
              <w:rPr>
                <w:color w:val="000000" w:themeColor="text1"/>
                <w:sz w:val="24"/>
                <w:szCs w:val="24"/>
                <w:highlight w:val="none"/>
              </w:rPr>
              <w:t xml:space="preserve">74,5</w:t>
            </w:r>
            <w:r>
              <w:rPr>
                <w:color w:val="000000" w:themeColor="text1"/>
                <w:highlight w:val="yellow"/>
              </w:rPr>
            </w:r>
            <w:r>
              <w:rPr>
                <w:color w:val="000000" w:themeColor="text1"/>
                <w:highlight w:val="yellow"/>
              </w:rPr>
            </w:r>
          </w:p>
        </w:tc>
        <w:tc>
          <w:tcPr>
            <w:tcW w:w="1333" w:type="dxa"/>
            <w:vMerge w:val="restart"/>
            <w:textDirection w:val="lrTb"/>
            <w:noWrap w:val="false"/>
          </w:tcPr>
          <w:p>
            <w:pPr>
              <w:ind w:left="57"/>
              <w:jc w:val="center"/>
              <w:rPr>
                <w:color w:val="000000" w:themeColor="text1"/>
                <w:highlight w:val="yellow"/>
              </w:rPr>
              <w:suppressLineNumbers w:val="0"/>
            </w:pPr>
            <w:r>
              <w:rPr>
                <w:color w:val="000000" w:themeColor="text1"/>
                <w:sz w:val="24"/>
                <w:szCs w:val="24"/>
                <w:highlight w:val="none"/>
              </w:rPr>
              <w:t xml:space="preserve">63,3</w:t>
            </w:r>
            <w:r>
              <w:rPr>
                <w:color w:val="000000" w:themeColor="text1"/>
                <w:highlight w:val="yellow"/>
              </w:rPr>
            </w:r>
            <w:r>
              <w:rPr>
                <w:color w:val="000000" w:themeColor="text1"/>
                <w:highlight w:val="yellow"/>
              </w:rPr>
            </w:r>
          </w:p>
        </w:tc>
        <w:tc>
          <w:tcPr>
            <w:tcW w:w="1330" w:type="dxa"/>
            <w:vMerge w:val="restart"/>
            <w:textDirection w:val="lrTb"/>
            <w:noWrap w:val="false"/>
          </w:tcPr>
          <w:p>
            <w:pPr>
              <w:ind w:left="57"/>
              <w:jc w:val="center"/>
              <w:rPr>
                <w:color w:val="000000" w:themeColor="text1"/>
                <w:highlight w:val="yellow"/>
              </w:rPr>
              <w:suppressLineNumbers w:val="0"/>
            </w:pPr>
            <w:r>
              <w:rPr>
                <w:color w:val="000000" w:themeColor="text1"/>
                <w:sz w:val="24"/>
                <w:szCs w:val="24"/>
                <w:highlight w:val="none"/>
              </w:rPr>
              <w:t xml:space="preserve">53,8</w:t>
            </w:r>
            <w:r>
              <w:rPr>
                <w:color w:val="000000" w:themeColor="text1"/>
                <w:highlight w:val="yellow"/>
              </w:rPr>
            </w:r>
            <w:r>
              <w:rPr>
                <w:color w:val="000000" w:themeColor="text1"/>
                <w:highlight w:val="yellow"/>
              </w:rPr>
            </w:r>
          </w:p>
        </w:tc>
      </w:tr>
    </w:tbl>
    <w:p>
      <w:pPr>
        <w:ind w:firstLine="709"/>
        <w:jc w:val="both"/>
        <w:rPr>
          <w:rFonts w:eastAsia="Calibri"/>
          <w:sz w:val="28"/>
          <w:szCs w:val="28"/>
          <w:highlight w:val="none"/>
          <w:lang w:eastAsia="en-US"/>
        </w:rPr>
      </w:pPr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rFonts w:eastAsia="Calibri"/>
          <w:sz w:val="28"/>
          <w:szCs w:val="28"/>
          <w:highlight w:val="none"/>
          <w:lang w:eastAsia="en-US"/>
        </w:rPr>
      </w:r>
    </w:p>
    <w:p>
      <w:pPr>
        <w:ind w:firstLine="709"/>
        <w:jc w:val="both"/>
        <w:rPr>
          <w:rFonts w:eastAsia="Calibri"/>
          <w:sz w:val="28"/>
          <w:szCs w:val="28"/>
          <w:highlight w:val="none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5. Раздел «Финансовое обеспечение реализации муниципальной программы «Управление муниципальным имуществом города Перми» изложить в следующей редакции:</w:t>
      </w:r>
      <w:r>
        <w:rPr>
          <w:rFonts w:eastAsia="Calibri"/>
          <w:sz w:val="28"/>
          <w:szCs w:val="28"/>
          <w:highlight w:val="none"/>
          <w:lang w:eastAsia="en-US"/>
        </w:rPr>
      </w:r>
      <w:r>
        <w:rPr>
          <w:rFonts w:eastAsia="Calibri"/>
          <w:sz w:val="28"/>
          <w:szCs w:val="28"/>
          <w:highlight w:val="none"/>
          <w:lang w:eastAsia="en-US"/>
        </w:rPr>
      </w:r>
    </w:p>
    <w:p>
      <w:pPr>
        <w:jc w:val="center"/>
        <w:spacing w:line="238" w:lineRule="exact"/>
        <w:widowControl w:val="off"/>
        <w:rPr>
          <w:b/>
          <w:bCs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</w:rPr>
        <w:t xml:space="preserve">«</w:t>
      </w:r>
      <w:r>
        <w:rPr>
          <w:b/>
          <w:sz w:val="28"/>
          <w:szCs w:val="28"/>
        </w:rPr>
        <w:t xml:space="preserve">ФИНАНСОВОЕ ОБЕСПЕЧЕНИЕ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spacing w:line="238" w:lineRule="exact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 xml:space="preserve">реализации муниципальной программы </w:t>
      </w:r>
      <w:r>
        <w:rPr>
          <w:b/>
          <w:bCs/>
          <w:iCs/>
          <w:sz w:val="28"/>
          <w:szCs w:val="28"/>
        </w:rPr>
        <w:t xml:space="preserve">«Управление муниципальным имуществом города Перми»</w:t>
      </w:r>
      <w:r>
        <w:rPr>
          <w:b/>
          <w:bCs/>
          <w:iCs/>
          <w:sz w:val="28"/>
          <w:szCs w:val="28"/>
        </w:rPr>
      </w:r>
      <w:r>
        <w:rPr>
          <w:b/>
          <w:bCs/>
          <w:iCs/>
          <w:sz w:val="28"/>
          <w:szCs w:val="28"/>
        </w:rPr>
      </w:r>
    </w:p>
    <w:p>
      <w:pPr>
        <w:jc w:val="center"/>
        <w:spacing w:line="24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iCs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750"/>
        <w:gridCol w:w="1134"/>
        <w:gridCol w:w="2256"/>
        <w:gridCol w:w="1313"/>
        <w:gridCol w:w="1310"/>
        <w:gridCol w:w="1310"/>
        <w:gridCol w:w="1310"/>
        <w:gridCol w:w="1310"/>
        <w:gridCol w:w="1266"/>
      </w:tblGrid>
      <w:tr>
        <w:tblPrEx/>
        <w:trPr/>
        <w:tc>
          <w:tcPr>
            <w:tcW w:w="375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 xml:space="preserve">программы, структурного элемента программы, направления расходов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  <w:vertAlign w:val="superscript"/>
                <w:lang w:val="en-US"/>
              </w:rPr>
            </w:pPr>
            <w:r>
              <w:rPr>
                <w:sz w:val="24"/>
                <w:szCs w:val="24"/>
              </w:rPr>
              <w:t xml:space="preserve">ФО (ФП), ТО</w:t>
            </w:r>
            <w:r>
              <w:rPr>
                <w:sz w:val="24"/>
                <w:szCs w:val="24"/>
                <w:vertAlign w:val="superscript"/>
                <w:lang w:val="en-US"/>
              </w:rPr>
            </w:r>
            <w:r>
              <w:rPr>
                <w:sz w:val="24"/>
                <w:szCs w:val="24"/>
                <w:vertAlign w:val="superscript"/>
                <w:lang w:val="en-US"/>
              </w:rPr>
            </w:r>
          </w:p>
        </w:tc>
        <w:tc>
          <w:tcPr>
            <w:tcW w:w="2256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Источники финансового обеспечения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6"/>
            <w:tcW w:w="7819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Расходы, тыс. руб.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83"/>
        </w:trPr>
        <w:tc>
          <w:tcPr>
            <w:tcW w:w="3750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134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256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3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2025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2027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2028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2029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(план)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66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750"/>
        <w:gridCol w:w="1134"/>
        <w:gridCol w:w="2256"/>
        <w:gridCol w:w="1313"/>
        <w:gridCol w:w="1310"/>
        <w:gridCol w:w="1310"/>
        <w:gridCol w:w="1310"/>
        <w:gridCol w:w="1310"/>
        <w:gridCol w:w="1266"/>
      </w:tblGrid>
      <w:tr>
        <w:tblPrEx/>
        <w:trPr>
          <w:trHeight w:val="0"/>
          <w:tblHeader/>
        </w:trPr>
        <w:tc>
          <w:tcPr>
            <w:tcW w:w="3688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256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3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66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688" w:type="dxa"/>
            <w:textDirection w:val="lrTb"/>
            <w:noWrap w:val="false"/>
          </w:tcPr>
          <w:p>
            <w:pPr>
              <w:widowControl w:val="off"/>
              <w:rPr>
                <w:sz w:val="24"/>
                <w:szCs w:val="24"/>
              </w:rPr>
              <w:outlineLvl w:val="0"/>
            </w:pPr>
            <w:r>
              <w:rPr>
                <w:sz w:val="24"/>
                <w:szCs w:val="24"/>
              </w:rPr>
              <w:t xml:space="preserve">Муниципальная программа города Перми «Управление муниципальным имуществом города Перми»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25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W w:w="1313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341 478,1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W w:w="1310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423 538,2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</w:p>
        </w:tc>
        <w:tc>
          <w:tcPr>
            <w:tcW w:w="1310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306 817,1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0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302 465,6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0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</w:r>
            <w:r>
              <w:rPr>
                <w:sz w:val="24"/>
              </w:rPr>
              <w:t xml:space="preserve">302 465,6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66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  <w:highlight w:val="white"/>
              </w:rPr>
              <w:suppressLineNumbers w:val="0"/>
            </w:pPr>
            <w:r>
              <w:rPr>
                <w:sz w:val="24"/>
                <w:szCs w:val="24"/>
                <w:highlight w:val="none"/>
              </w:rPr>
              <w:t xml:space="preserve">1 676 764,6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9"/>
            <w:tcW w:w="14897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  <w:outlineLvl w:val="0"/>
            </w:pPr>
            <w:r>
              <w:rPr>
                <w:sz w:val="24"/>
                <w:szCs w:val="24"/>
              </w:rPr>
              <w:t xml:space="preserve">Комплексы процессных мероприятий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31"/>
        </w:trPr>
        <w:tc>
          <w:tcPr>
            <w:tcW w:w="3688" w:type="dxa"/>
            <w:textDirection w:val="lrTb"/>
            <w:noWrap w:val="false"/>
          </w:tcPr>
          <w:p>
            <w:pPr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Комплекс процессных мероприятий 1 </w:t>
            </w:r>
            <w:r>
              <w:rPr>
                <w:bCs/>
                <w:iCs/>
                <w:sz w:val="24"/>
                <w:szCs w:val="24"/>
              </w:rPr>
              <w:t xml:space="preserve">«Осуществление полномочий собственника муниципального имущества города Перми в порядке, предусмотренном действующим законодательством»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25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3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163 349,6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0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218 352,1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0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104 729,1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0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104 720,0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0" w:type="dxa"/>
            <w:textDirection w:val="lrTb"/>
            <w:noWrap w:val="false"/>
          </w:tcPr>
          <w:p>
            <w:pPr>
              <w:ind w:left="57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sz w:val="24"/>
                <w:szCs w:val="24"/>
              </w:rPr>
              <w:t xml:space="preserve">104 720,0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66" w:type="dxa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  <w:highlight w:val="white"/>
              </w:rPr>
              <w:suppressLineNumbers w:val="0"/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none"/>
              </w:rPr>
              <w:t xml:space="preserve">695 870,8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0"/>
        </w:trPr>
        <w:tc>
          <w:tcPr>
            <w:tcW w:w="3750" w:type="dxa"/>
            <w:vMerge w:val="restart"/>
            <w:textDirection w:val="lrTb"/>
            <w:noWrap w:val="false"/>
          </w:tcPr>
          <w:p>
            <w:pPr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Направление расходов 1.1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«Мероприятия в сфере имущественных отношений»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25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3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2 013,7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2 074,6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2 114,4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2 114,4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0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2 114,4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66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10 431,5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0"/>
        </w:trPr>
        <w:tc>
          <w:tcPr>
            <w:tcW w:w="368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256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3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2 013,7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0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2 062,6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310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2 114,4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31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2 114,4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0" w:type="dxa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2 114,4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66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10 419,5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0"/>
        </w:trPr>
        <w:tc>
          <w:tcPr>
            <w:tcW w:w="368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АЛР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256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3" w:type="dxa"/>
            <w:vMerge w:val="restart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0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12,0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310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310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310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1266" w:type="dxa"/>
            <w:vMerge w:val="restart"/>
            <w:textDirection w:val="lrTb"/>
            <w:noWrap w:val="false"/>
          </w:tcPr>
          <w:p>
            <w:pPr>
              <w:pStyle w:val="98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12,0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0"/>
        </w:trPr>
        <w:tc>
          <w:tcPr>
            <w:tcW w:w="3688" w:type="dxa"/>
            <w:textDirection w:val="lrTb"/>
            <w:noWrap w:val="false"/>
          </w:tcPr>
          <w:p>
            <w:pPr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Направление расходов 1.2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«Содержание и обслуживание нежилого муниципального фонда»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25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3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</w:rPr>
              <w:t xml:space="preserve">74 314,1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310" w:type="dxa"/>
            <w:textDirection w:val="lrTb"/>
            <w:noWrap w:val="false"/>
          </w:tcPr>
          <w:p>
            <w:pPr>
              <w:pStyle w:val="982"/>
              <w:jc w:val="center"/>
            </w:pPr>
            <w:r>
              <w:rPr>
                <w:sz w:val="24"/>
              </w:rPr>
              <w:t xml:space="preserve">82 785,5</w:t>
            </w:r>
            <w:r/>
          </w:p>
        </w:tc>
        <w:tc>
          <w:tcPr>
            <w:tcW w:w="1310" w:type="dxa"/>
            <w:textDirection w:val="lrTb"/>
            <w:noWrap w:val="false"/>
          </w:tcPr>
          <w:p>
            <w:pPr>
              <w:pStyle w:val="982"/>
              <w:jc w:val="center"/>
            </w:pPr>
            <w:r>
              <w:rPr>
                <w:sz w:val="24"/>
              </w:rPr>
              <w:t xml:space="preserve">61 509,3</w:t>
            </w:r>
            <w:r/>
          </w:p>
        </w:tc>
        <w:tc>
          <w:tcPr>
            <w:tcW w:w="1310" w:type="dxa"/>
            <w:textDirection w:val="lrTb"/>
            <w:noWrap w:val="false"/>
          </w:tcPr>
          <w:p>
            <w:pPr>
              <w:pStyle w:val="982"/>
              <w:jc w:val="center"/>
            </w:pPr>
            <w:r>
              <w:rPr>
                <w:sz w:val="24"/>
              </w:rPr>
              <w:t xml:space="preserve">61 509,3</w:t>
            </w:r>
            <w:r/>
          </w:p>
        </w:tc>
        <w:tc>
          <w:tcPr>
            <w:tcW w:w="1310" w:type="dxa"/>
            <w:textDirection w:val="lrTb"/>
            <w:noWrap w:val="false"/>
          </w:tcPr>
          <w:p>
            <w:pPr>
              <w:pStyle w:val="982"/>
              <w:jc w:val="center"/>
            </w:pPr>
            <w:r>
              <w:rPr>
                <w:sz w:val="24"/>
              </w:rPr>
              <w:t xml:space="preserve">61 509,3</w:t>
            </w:r>
            <w:r/>
          </w:p>
        </w:tc>
        <w:tc>
          <w:tcPr>
            <w:tcW w:w="1266" w:type="dxa"/>
            <w:textDirection w:val="lrTb"/>
            <w:noWrap w:val="false"/>
          </w:tcPr>
          <w:p>
            <w:pPr>
              <w:pStyle w:val="982"/>
              <w:jc w:val="center"/>
            </w:pPr>
            <w:r>
              <w:rPr>
                <w:sz w:val="24"/>
              </w:rPr>
              <w:t xml:space="preserve">341 627,5</w:t>
            </w:r>
            <w:r/>
          </w:p>
        </w:tc>
      </w:tr>
      <w:tr>
        <w:tblPrEx/>
        <w:trPr>
          <w:trHeight w:val="0"/>
        </w:trPr>
        <w:tc>
          <w:tcPr>
            <w:tcW w:w="3688" w:type="dxa"/>
            <w:textDirection w:val="lrTb"/>
            <w:noWrap w:val="false"/>
          </w:tcPr>
          <w:p>
            <w:pPr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Направление расходов 1.3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«Приведение в нормативное состояние объектов нежилого муниципального фонда»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25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3" w:type="dxa"/>
            <w:textDirection w:val="lrTb"/>
            <w:noWrap w:val="false"/>
          </w:tcPr>
          <w:p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87 021,8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310" w:type="dxa"/>
            <w:textDirection w:val="lrTb"/>
            <w:noWrap w:val="false"/>
          </w:tcPr>
          <w:p>
            <w:pPr>
              <w:pStyle w:val="982"/>
              <w:jc w:val="center"/>
            </w:pPr>
            <w:r>
              <w:rPr>
                <w:sz w:val="24"/>
              </w:rPr>
              <w:t xml:space="preserve">133 492,0</w:t>
            </w:r>
            <w:r/>
          </w:p>
        </w:tc>
        <w:tc>
          <w:tcPr>
            <w:tcW w:w="1310" w:type="dxa"/>
            <w:textDirection w:val="lrTb"/>
            <w:noWrap w:val="false"/>
          </w:tcPr>
          <w:p>
            <w:pPr>
              <w:pStyle w:val="982"/>
              <w:jc w:val="center"/>
            </w:pPr>
            <w:r>
              <w:rPr>
                <w:sz w:val="24"/>
              </w:rPr>
              <w:t xml:space="preserve">41 105,4</w:t>
            </w:r>
            <w:r/>
          </w:p>
        </w:tc>
        <w:tc>
          <w:tcPr>
            <w:tcW w:w="1310" w:type="dxa"/>
            <w:textDirection w:val="lrTb"/>
            <w:noWrap w:val="false"/>
          </w:tcPr>
          <w:p>
            <w:pPr>
              <w:pStyle w:val="9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41 096,3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0" w:type="dxa"/>
            <w:textDirection w:val="lrTb"/>
            <w:noWrap w:val="false"/>
          </w:tcPr>
          <w:p>
            <w:pPr>
              <w:pStyle w:val="982"/>
              <w:jc w:val="center"/>
            </w:pPr>
            <w:r>
              <w:rPr>
                <w:sz w:val="24"/>
              </w:rPr>
              <w:t xml:space="preserve">41 096,3</w:t>
            </w:r>
            <w:r/>
          </w:p>
        </w:tc>
        <w:tc>
          <w:tcPr>
            <w:tcW w:w="1266" w:type="dxa"/>
            <w:textDirection w:val="lrTb"/>
            <w:noWrap w:val="false"/>
          </w:tcPr>
          <w:p>
            <w:pPr>
              <w:pStyle w:val="982"/>
              <w:jc w:val="center"/>
            </w:pPr>
            <w:r>
              <w:rPr>
                <w:sz w:val="24"/>
              </w:rPr>
              <w:t xml:space="preserve">343 811,8</w:t>
            </w:r>
            <w:r/>
          </w:p>
        </w:tc>
      </w:tr>
      <w:tr>
        <w:tblPrEx/>
        <w:trPr/>
        <w:tc>
          <w:tcPr>
            <w:tcW w:w="3688" w:type="dxa"/>
            <w:textDirection w:val="lrTb"/>
            <w:noWrap w:val="false"/>
          </w:tcPr>
          <w:p>
            <w:pPr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Комплекс процессных </w:t>
            </w:r>
            <w:r>
              <w:rPr>
                <w:sz w:val="24"/>
                <w:szCs w:val="24"/>
              </w:rPr>
              <w:t xml:space="preserve">мероприятий 2 </w:t>
            </w:r>
            <w:r>
              <w:rPr>
                <w:bCs/>
                <w:iCs/>
                <w:sz w:val="24"/>
                <w:szCs w:val="24"/>
              </w:rPr>
              <w:t xml:space="preserve">«Обеспечение деятельности департамента имущественных отношений администрации города Перми и подведомственного ему учреждения»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25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города </w:t>
            </w:r>
            <w:r>
              <w:rPr>
                <w:sz w:val="24"/>
                <w:szCs w:val="24"/>
              </w:rPr>
              <w:t xml:space="preserve">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3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178 128,5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none"/>
              </w:rPr>
              <w:t xml:space="preserve">205 186,1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31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202 088,0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197 745,6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197 745,6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6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980 893,8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0"/>
        </w:trPr>
        <w:tc>
          <w:tcPr>
            <w:tcW w:w="3688" w:type="dxa"/>
            <w:textDirection w:val="lrTb"/>
            <w:noWrap w:val="false"/>
          </w:tcPr>
          <w:p>
            <w:pPr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Направление расходов 2.1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«Содержание муниципальных органов города Перми»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25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3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111 619,6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highlight w:val="none"/>
              </w:rPr>
              <w:t xml:space="preserve">122 437,5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31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128 586,0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128 586,0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128 586,0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6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619 815,1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3688" w:type="dxa"/>
            <w:textDirection w:val="lrTb"/>
            <w:noWrap w:val="false"/>
          </w:tcPr>
          <w:p>
            <w:pPr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Направление расходов 2.2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widowControl w:val="o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«Обеспечение деятельности (оказание услуг, выполнение работ) муниципальных учреждений (организаций)»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25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города Перми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3" w:type="dxa"/>
            <w:textDirection w:val="lrTb"/>
            <w:noWrap w:val="false"/>
          </w:tcPr>
          <w:p>
            <w:pPr>
              <w:jc w:val="center"/>
              <w:rPr>
                <w:color w:val="c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66 508,9</w:t>
            </w:r>
            <w:r>
              <w:rPr>
                <w:color w:val="c00000"/>
                <w:sz w:val="24"/>
                <w:szCs w:val="24"/>
              </w:rPr>
            </w:r>
            <w:r>
              <w:rPr>
                <w:color w:val="c00000"/>
                <w:sz w:val="24"/>
                <w:szCs w:val="24"/>
              </w:rPr>
            </w:r>
          </w:p>
        </w:tc>
        <w:tc>
          <w:tcPr>
            <w:tcW w:w="131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none"/>
              </w:rPr>
              <w:t xml:space="preserve">82 748,6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31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73 502,0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69 159,6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31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69 159,6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266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361 078,7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709"/>
        <w:jc w:val="both"/>
      </w:pPr>
      <w:r>
        <w:rPr>
          <w:rFonts w:eastAsia="Calibri"/>
          <w:sz w:val="28"/>
          <w:szCs w:val="28"/>
          <w:lang w:eastAsia="en-US"/>
        </w:rPr>
      </w:r>
      <w:r/>
    </w:p>
    <w:sectPr>
      <w:headerReference w:type="default" r:id="rId10"/>
      <w:headerReference w:type="even" r:id="rId11"/>
      <w:footerReference w:type="default" r:id="rId12"/>
      <w:footnotePr/>
      <w:endnotePr/>
      <w:type w:val="nextPage"/>
      <w:pgSz w:w="16838" w:h="11906" w:orient="landscape"/>
      <w:pgMar w:top="1134" w:right="567" w:bottom="1162" w:left="1417" w:header="363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Times New Roman">
    <w:panose1 w:val="02020603050405020304"/>
  </w:font>
  <w:font w:name="Tahoma">
    <w:panose1 w:val="020B0604030504040204"/>
  </w:font>
  <w:font w:name="Segoe UI">
    <w:panose1 w:val="020B0503020204020204"/>
  </w:font>
  <w:font w:name="Courier New">
    <w:panose1 w:val="020703090202050204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9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7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7"/>
      <w:jc w:val="center"/>
    </w:pPr>
    <w:fldSimple w:instr="PAGE \* MERGEFORMAT">
      <w:r>
        <w:rPr>
          <w:sz w:val="28"/>
          <w:szCs w:val="28"/>
        </w:rPr>
        <w:t xml:space="preserve">1</w:t>
      </w:r>
    </w:fldSimple>
    <w:r>
      <w:rPr>
        <w:sz w:val="28"/>
        <w:szCs w:val="28"/>
      </w:rPr>
    </w:r>
    <w:r>
      <w:rPr>
        <w:sz w:val="28"/>
        <w:szCs w:val="28"/>
      </w:rPr>
    </w:r>
    <w:r/>
  </w:p>
  <w:p>
    <w:pPr>
      <w:pStyle w:val="80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7"/>
      <w:rPr>
        <w:rStyle w:val="959"/>
      </w:rPr>
      <w:framePr w:wrap="around" w:vAnchor="text" w:hAnchor="margin" w:xAlign="center" w:y="1"/>
    </w:pPr>
    <w:r>
      <w:rPr>
        <w:rStyle w:val="959"/>
      </w:rPr>
      <w:fldChar w:fldCharType="begin"/>
    </w:r>
    <w:r>
      <w:rPr>
        <w:rStyle w:val="959"/>
      </w:rPr>
      <w:instrText xml:space="preserve">PAGE  </w:instrText>
    </w:r>
    <w:r>
      <w:rPr>
        <w:rStyle w:val="959"/>
      </w:rPr>
      <w:fldChar w:fldCharType="end"/>
    </w:r>
    <w:r>
      <w:rPr>
        <w:rStyle w:val="959"/>
      </w:rPr>
    </w:r>
    <w:r>
      <w:rPr>
        <w:rStyle w:val="959"/>
      </w:rPr>
    </w:r>
  </w:p>
  <w:p>
    <w:pPr>
      <w:pStyle w:val="80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36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3" w:hanging="180"/>
      </w:pPr>
    </w:lvl>
  </w:abstractNum>
  <w:abstractNum w:abstractNumId="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243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315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87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59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31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03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75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47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193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9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9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9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09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9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9" w:hanging="216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5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11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3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5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7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9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1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3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51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71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3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15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87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59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1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3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75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473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5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7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9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1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3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5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7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9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13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"/>
      <w:lvlJc w:val="left"/>
      <w:pPr>
        <w:ind w:left="1159" w:hanging="450"/>
      </w:pPr>
    </w:lvl>
    <w:lvl w:ilvl="2">
      <w:start w:val="1"/>
      <w:numFmt w:val="decimal"/>
      <w:isLgl w:val="false"/>
      <w:suff w:val="tab"/>
      <w:lvlText w:val="%1.%2.%3"/>
      <w:lvlJc w:val="left"/>
      <w:pPr>
        <w:ind w:left="2138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3207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4985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5694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6763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832" w:hanging="216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420" w:hanging="420"/>
      </w:pPr>
    </w:lvl>
    <w:lvl w:ilvl="1">
      <w:start w:val="1"/>
      <w:numFmt w:val="decimal"/>
      <w:isLgl w:val="false"/>
      <w:suff w:val="tab"/>
      <w:lvlText w:val="%1.%2"/>
      <w:lvlJc w:val="left"/>
      <w:pPr>
        <w:ind w:left="1129" w:hanging="420"/>
      </w:pPr>
    </w:lvl>
    <w:lvl w:ilvl="2">
      <w:start w:val="1"/>
      <w:numFmt w:val="decimal"/>
      <w:isLgl w:val="false"/>
      <w:suff w:val="tab"/>
      <w:lvlText w:val="%1.%2.%3"/>
      <w:lvlJc w:val="left"/>
      <w:pPr>
        <w:ind w:left="2138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3207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4985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5694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6763" w:hanging="180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832" w:hanging="2160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07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79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1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3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95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67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39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1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33" w:hanging="180"/>
      </w:pPr>
    </w:lvl>
  </w:abstractNum>
  <w:abstractNum w:abstractNumId="20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43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79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9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5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15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51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87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87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230" w:hanging="2160"/>
      </w:pPr>
    </w:lvl>
  </w:abstractNum>
  <w:num w:numId="1">
    <w:abstractNumId w:val="14"/>
  </w:num>
  <w:num w:numId="2">
    <w:abstractNumId w:val="10"/>
  </w:num>
  <w:num w:numId="3">
    <w:abstractNumId w:val="6"/>
  </w:num>
  <w:num w:numId="4">
    <w:abstractNumId w:val="11"/>
  </w:num>
  <w:num w:numId="5">
    <w:abstractNumId w:val="15"/>
  </w:num>
  <w:num w:numId="6">
    <w:abstractNumId w:val="17"/>
  </w:num>
  <w:num w:numId="7">
    <w:abstractNumId w:val="19"/>
  </w:num>
  <w:num w:numId="8">
    <w:abstractNumId w:val="1"/>
  </w:num>
  <w:num w:numId="9">
    <w:abstractNumId w:val="2"/>
  </w:num>
  <w:num w:numId="10">
    <w:abstractNumId w:val="20"/>
  </w:num>
  <w:num w:numId="11">
    <w:abstractNumId w:val="5"/>
  </w:num>
  <w:num w:numId="12">
    <w:abstractNumId w:val="16"/>
  </w:num>
  <w:num w:numId="13">
    <w:abstractNumId w:val="0"/>
  </w:num>
  <w:num w:numId="14">
    <w:abstractNumId w:val="7"/>
  </w:num>
  <w:num w:numId="15">
    <w:abstractNumId w:val="12"/>
  </w:num>
  <w:num w:numId="16">
    <w:abstractNumId w:val="13"/>
  </w:num>
  <w:num w:numId="17">
    <w:abstractNumId w:val="3"/>
  </w:num>
  <w:num w:numId="18">
    <w:abstractNumId w:val="9"/>
  </w:num>
  <w:num w:numId="19">
    <w:abstractNumId w:val="4"/>
  </w:num>
  <w:num w:numId="20">
    <w:abstractNumId w:val="18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61" w:default="1">
    <w:name w:val="Normal"/>
    <w:qFormat/>
  </w:style>
  <w:style w:type="paragraph" w:styleId="762">
    <w:name w:val="Heading 1"/>
    <w:basedOn w:val="761"/>
    <w:next w:val="761"/>
    <w:link w:val="1045"/>
    <w:uiPriority w:val="9"/>
    <w:qFormat/>
    <w:pPr>
      <w:ind w:right="-1" w:firstLine="709"/>
      <w:jc w:val="both"/>
      <w:keepNext/>
      <w:outlineLvl w:val="0"/>
    </w:pPr>
    <w:rPr>
      <w:sz w:val="24"/>
    </w:rPr>
  </w:style>
  <w:style w:type="paragraph" w:styleId="763">
    <w:name w:val="Heading 2"/>
    <w:basedOn w:val="761"/>
    <w:next w:val="761"/>
    <w:link w:val="789"/>
    <w:qFormat/>
    <w:pPr>
      <w:ind w:right="-1"/>
      <w:jc w:val="both"/>
      <w:keepNext/>
      <w:outlineLvl w:val="1"/>
    </w:pPr>
    <w:rPr>
      <w:sz w:val="24"/>
    </w:rPr>
  </w:style>
  <w:style w:type="paragraph" w:styleId="764">
    <w:name w:val="Heading 3"/>
    <w:basedOn w:val="761"/>
    <w:next w:val="761"/>
    <w:link w:val="79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65">
    <w:name w:val="Heading 4"/>
    <w:basedOn w:val="761"/>
    <w:next w:val="761"/>
    <w:link w:val="79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66">
    <w:name w:val="Heading 5"/>
    <w:basedOn w:val="761"/>
    <w:next w:val="761"/>
    <w:link w:val="79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67">
    <w:name w:val="Heading 6"/>
    <w:basedOn w:val="761"/>
    <w:next w:val="761"/>
    <w:link w:val="79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68">
    <w:name w:val="Heading 7"/>
    <w:basedOn w:val="761"/>
    <w:next w:val="761"/>
    <w:link w:val="79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69">
    <w:name w:val="Heading 8"/>
    <w:basedOn w:val="761"/>
    <w:next w:val="761"/>
    <w:link w:val="79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70">
    <w:name w:val="Heading 9"/>
    <w:basedOn w:val="761"/>
    <w:next w:val="761"/>
    <w:link w:val="79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1" w:default="1">
    <w:name w:val="Default Paragraph Font"/>
    <w:uiPriority w:val="1"/>
    <w:semiHidden/>
    <w:unhideWhenUsed/>
  </w:style>
  <w:style w:type="table" w:styleId="77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73" w:default="1">
    <w:name w:val="No List"/>
    <w:uiPriority w:val="99"/>
    <w:semiHidden/>
    <w:unhideWhenUsed/>
  </w:style>
  <w:style w:type="character" w:styleId="774" w:customStyle="1">
    <w:name w:val="Heading 2 Char"/>
    <w:uiPriority w:val="9"/>
    <w:rPr>
      <w:rFonts w:ascii="Arial" w:hAnsi="Arial" w:eastAsia="Arial" w:cs="Arial"/>
      <w:sz w:val="34"/>
    </w:rPr>
  </w:style>
  <w:style w:type="character" w:styleId="775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776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777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778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779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80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781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782" w:customStyle="1">
    <w:name w:val="Title Char"/>
    <w:uiPriority w:val="10"/>
    <w:rPr>
      <w:sz w:val="48"/>
      <w:szCs w:val="48"/>
    </w:rPr>
  </w:style>
  <w:style w:type="character" w:styleId="783" w:customStyle="1">
    <w:name w:val="Subtitle Char"/>
    <w:uiPriority w:val="11"/>
    <w:rPr>
      <w:sz w:val="24"/>
      <w:szCs w:val="24"/>
    </w:rPr>
  </w:style>
  <w:style w:type="character" w:styleId="784" w:customStyle="1">
    <w:name w:val="Quote Char"/>
    <w:uiPriority w:val="29"/>
    <w:rPr>
      <w:i/>
    </w:rPr>
  </w:style>
  <w:style w:type="character" w:styleId="785" w:customStyle="1">
    <w:name w:val="Intense Quote Char"/>
    <w:uiPriority w:val="30"/>
    <w:rPr>
      <w:i/>
    </w:rPr>
  </w:style>
  <w:style w:type="character" w:styleId="786" w:customStyle="1">
    <w:name w:val="Footnote Text Char"/>
    <w:uiPriority w:val="99"/>
    <w:rPr>
      <w:sz w:val="18"/>
    </w:rPr>
  </w:style>
  <w:style w:type="character" w:styleId="787" w:customStyle="1">
    <w:name w:val="Endnote Text Char"/>
    <w:uiPriority w:val="99"/>
    <w:rPr>
      <w:sz w:val="20"/>
    </w:rPr>
  </w:style>
  <w:style w:type="character" w:styleId="788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89" w:customStyle="1">
    <w:name w:val="Заголовок 2 Знак"/>
    <w:link w:val="763"/>
    <w:uiPriority w:val="9"/>
    <w:rPr>
      <w:rFonts w:ascii="Arial" w:hAnsi="Arial" w:eastAsia="Arial" w:cs="Arial"/>
      <w:sz w:val="34"/>
    </w:rPr>
  </w:style>
  <w:style w:type="character" w:styleId="790" w:customStyle="1">
    <w:name w:val="Заголовок 3 Знак"/>
    <w:link w:val="764"/>
    <w:uiPriority w:val="9"/>
    <w:rPr>
      <w:rFonts w:ascii="Arial" w:hAnsi="Arial" w:eastAsia="Arial" w:cs="Arial"/>
      <w:sz w:val="30"/>
      <w:szCs w:val="30"/>
    </w:rPr>
  </w:style>
  <w:style w:type="character" w:styleId="791" w:customStyle="1">
    <w:name w:val="Заголовок 4 Знак"/>
    <w:link w:val="765"/>
    <w:uiPriority w:val="9"/>
    <w:rPr>
      <w:rFonts w:ascii="Arial" w:hAnsi="Arial" w:eastAsia="Arial" w:cs="Arial"/>
      <w:b/>
      <w:bCs/>
      <w:sz w:val="26"/>
      <w:szCs w:val="26"/>
    </w:rPr>
  </w:style>
  <w:style w:type="character" w:styleId="792" w:customStyle="1">
    <w:name w:val="Заголовок 5 Знак"/>
    <w:link w:val="766"/>
    <w:uiPriority w:val="9"/>
    <w:rPr>
      <w:rFonts w:ascii="Arial" w:hAnsi="Arial" w:eastAsia="Arial" w:cs="Arial"/>
      <w:b/>
      <w:bCs/>
      <w:sz w:val="24"/>
      <w:szCs w:val="24"/>
    </w:rPr>
  </w:style>
  <w:style w:type="character" w:styleId="793" w:customStyle="1">
    <w:name w:val="Заголовок 6 Знак"/>
    <w:link w:val="767"/>
    <w:uiPriority w:val="9"/>
    <w:rPr>
      <w:rFonts w:ascii="Arial" w:hAnsi="Arial" w:eastAsia="Arial" w:cs="Arial"/>
      <w:b/>
      <w:bCs/>
      <w:sz w:val="22"/>
      <w:szCs w:val="22"/>
    </w:rPr>
  </w:style>
  <w:style w:type="character" w:styleId="794" w:customStyle="1">
    <w:name w:val="Заголовок 7 Знак"/>
    <w:link w:val="7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95" w:customStyle="1">
    <w:name w:val="Заголовок 8 Знак"/>
    <w:link w:val="769"/>
    <w:uiPriority w:val="9"/>
    <w:rPr>
      <w:rFonts w:ascii="Arial" w:hAnsi="Arial" w:eastAsia="Arial" w:cs="Arial"/>
      <w:i/>
      <w:iCs/>
      <w:sz w:val="22"/>
      <w:szCs w:val="22"/>
    </w:rPr>
  </w:style>
  <w:style w:type="character" w:styleId="796" w:customStyle="1">
    <w:name w:val="Заголовок 9 Знак"/>
    <w:link w:val="770"/>
    <w:uiPriority w:val="9"/>
    <w:rPr>
      <w:rFonts w:ascii="Arial" w:hAnsi="Arial" w:eastAsia="Arial" w:cs="Arial"/>
      <w:i/>
      <w:iCs/>
      <w:sz w:val="21"/>
      <w:szCs w:val="21"/>
    </w:rPr>
  </w:style>
  <w:style w:type="paragraph" w:styleId="797">
    <w:name w:val="List Paragraph"/>
    <w:basedOn w:val="761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798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paragraph" w:styleId="799">
    <w:name w:val="Title"/>
    <w:basedOn w:val="761"/>
    <w:next w:val="761"/>
    <w:link w:val="80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00" w:customStyle="1">
    <w:name w:val="Заголовок Знак"/>
    <w:link w:val="799"/>
    <w:uiPriority w:val="10"/>
    <w:rPr>
      <w:sz w:val="48"/>
      <w:szCs w:val="48"/>
    </w:rPr>
  </w:style>
  <w:style w:type="paragraph" w:styleId="801">
    <w:name w:val="Subtitle"/>
    <w:basedOn w:val="761"/>
    <w:next w:val="761"/>
    <w:link w:val="802"/>
    <w:uiPriority w:val="11"/>
    <w:qFormat/>
    <w:pPr>
      <w:spacing w:before="200" w:after="200"/>
    </w:pPr>
    <w:rPr>
      <w:sz w:val="24"/>
      <w:szCs w:val="24"/>
    </w:rPr>
  </w:style>
  <w:style w:type="character" w:styleId="802" w:customStyle="1">
    <w:name w:val="Подзаголовок Знак"/>
    <w:link w:val="801"/>
    <w:uiPriority w:val="11"/>
    <w:rPr>
      <w:sz w:val="24"/>
      <w:szCs w:val="24"/>
    </w:rPr>
  </w:style>
  <w:style w:type="paragraph" w:styleId="803">
    <w:name w:val="Quote"/>
    <w:basedOn w:val="761"/>
    <w:next w:val="761"/>
    <w:link w:val="804"/>
    <w:uiPriority w:val="29"/>
    <w:qFormat/>
    <w:pPr>
      <w:ind w:left="720" w:right="720"/>
    </w:pPr>
    <w:rPr>
      <w:i/>
    </w:rPr>
  </w:style>
  <w:style w:type="character" w:styleId="804" w:customStyle="1">
    <w:name w:val="Цитата 2 Знак"/>
    <w:link w:val="803"/>
    <w:uiPriority w:val="29"/>
    <w:rPr>
      <w:i/>
    </w:rPr>
  </w:style>
  <w:style w:type="paragraph" w:styleId="805">
    <w:name w:val="Intense Quote"/>
    <w:basedOn w:val="761"/>
    <w:next w:val="761"/>
    <w:link w:val="80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6" w:customStyle="1">
    <w:name w:val="Выделенная цитата Знак"/>
    <w:link w:val="805"/>
    <w:uiPriority w:val="30"/>
    <w:rPr>
      <w:i/>
    </w:rPr>
  </w:style>
  <w:style w:type="paragraph" w:styleId="807">
    <w:name w:val="Header"/>
    <w:basedOn w:val="761"/>
    <w:link w:val="962"/>
    <w:uiPriority w:val="99"/>
    <w:pPr>
      <w:tabs>
        <w:tab w:val="center" w:pos="4153" w:leader="none"/>
        <w:tab w:val="right" w:pos="8306" w:leader="none"/>
      </w:tabs>
    </w:pPr>
  </w:style>
  <w:style w:type="character" w:styleId="808" w:customStyle="1">
    <w:name w:val="Header Char"/>
    <w:uiPriority w:val="99"/>
  </w:style>
  <w:style w:type="paragraph" w:styleId="809">
    <w:name w:val="Footer"/>
    <w:basedOn w:val="761"/>
    <w:link w:val="1038"/>
    <w:uiPriority w:val="99"/>
    <w:pPr>
      <w:tabs>
        <w:tab w:val="center" w:pos="4153" w:leader="none"/>
        <w:tab w:val="right" w:pos="8306" w:leader="none"/>
      </w:tabs>
    </w:pPr>
  </w:style>
  <w:style w:type="character" w:styleId="810" w:customStyle="1">
    <w:name w:val="Footer Char"/>
    <w:uiPriority w:val="99"/>
  </w:style>
  <w:style w:type="paragraph" w:styleId="811">
    <w:name w:val="Caption"/>
    <w:basedOn w:val="761"/>
    <w:next w:val="761"/>
    <w:link w:val="812"/>
    <w:qFormat/>
    <w:pPr>
      <w:jc w:val="center"/>
      <w:spacing w:line="360" w:lineRule="exact"/>
      <w:widowControl w:val="off"/>
    </w:pPr>
    <w:rPr>
      <w:b/>
      <w:sz w:val="32"/>
    </w:rPr>
  </w:style>
  <w:style w:type="character" w:styleId="812" w:customStyle="1">
    <w:name w:val="Caption Char"/>
    <w:uiPriority w:val="99"/>
  </w:style>
  <w:style w:type="table" w:styleId="813">
    <w:name w:val="Table Grid"/>
    <w:basedOn w:val="772"/>
    <w:uiPriority w:val="59"/>
    <w:rPr>
      <w:rFonts w:ascii="Calibri" w:hAnsi="Calibri" w:eastAsia="Calibri"/>
      <w:sz w:val="22"/>
      <w:szCs w:val="22"/>
      <w:lang w:eastAsia="en-US"/>
    </w:rPr>
    <w:tblPr/>
  </w:style>
  <w:style w:type="table" w:styleId="814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5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6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7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8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9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0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8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855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2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9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3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4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5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6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7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8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9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0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1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2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4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5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6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7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8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9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1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2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3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4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5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6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7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98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99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900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901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902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903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904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5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6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7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8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9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0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1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2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3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4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5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6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7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8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19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20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21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22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23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24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25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6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7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8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29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0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1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2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3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4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5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6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7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38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939">
    <w:name w:val="Hyperlink"/>
    <w:uiPriority w:val="99"/>
    <w:unhideWhenUsed/>
    <w:rPr>
      <w:color w:val="0000ff"/>
      <w:u w:val="single"/>
    </w:rPr>
  </w:style>
  <w:style w:type="paragraph" w:styleId="940">
    <w:name w:val="footnote text"/>
    <w:basedOn w:val="761"/>
    <w:link w:val="941"/>
    <w:uiPriority w:val="99"/>
    <w:semiHidden/>
    <w:unhideWhenUsed/>
    <w:pPr>
      <w:spacing w:after="40"/>
    </w:pPr>
    <w:rPr>
      <w:sz w:val="18"/>
    </w:rPr>
  </w:style>
  <w:style w:type="character" w:styleId="941" w:customStyle="1">
    <w:name w:val="Текст сноски Знак"/>
    <w:link w:val="940"/>
    <w:uiPriority w:val="99"/>
    <w:rPr>
      <w:sz w:val="18"/>
    </w:rPr>
  </w:style>
  <w:style w:type="character" w:styleId="942">
    <w:name w:val="footnote reference"/>
    <w:uiPriority w:val="99"/>
    <w:unhideWhenUsed/>
    <w:rPr>
      <w:vertAlign w:val="superscript"/>
    </w:rPr>
  </w:style>
  <w:style w:type="paragraph" w:styleId="943">
    <w:name w:val="endnote text"/>
    <w:basedOn w:val="761"/>
    <w:link w:val="944"/>
    <w:uiPriority w:val="99"/>
    <w:semiHidden/>
    <w:unhideWhenUsed/>
  </w:style>
  <w:style w:type="character" w:styleId="944" w:customStyle="1">
    <w:name w:val="Текст концевой сноски Знак"/>
    <w:link w:val="943"/>
    <w:uiPriority w:val="99"/>
    <w:rPr>
      <w:sz w:val="20"/>
    </w:rPr>
  </w:style>
  <w:style w:type="character" w:styleId="945">
    <w:name w:val="endnote reference"/>
    <w:uiPriority w:val="99"/>
    <w:semiHidden/>
    <w:unhideWhenUsed/>
    <w:rPr>
      <w:vertAlign w:val="superscript"/>
    </w:rPr>
  </w:style>
  <w:style w:type="paragraph" w:styleId="946">
    <w:name w:val="toc 1"/>
    <w:basedOn w:val="761"/>
    <w:next w:val="761"/>
    <w:uiPriority w:val="39"/>
    <w:unhideWhenUsed/>
    <w:pPr>
      <w:spacing w:after="57"/>
    </w:pPr>
  </w:style>
  <w:style w:type="paragraph" w:styleId="947">
    <w:name w:val="toc 2"/>
    <w:basedOn w:val="761"/>
    <w:next w:val="761"/>
    <w:uiPriority w:val="39"/>
    <w:unhideWhenUsed/>
    <w:pPr>
      <w:ind w:left="283"/>
      <w:spacing w:after="57"/>
    </w:pPr>
  </w:style>
  <w:style w:type="paragraph" w:styleId="948">
    <w:name w:val="toc 3"/>
    <w:basedOn w:val="761"/>
    <w:next w:val="761"/>
    <w:uiPriority w:val="39"/>
    <w:unhideWhenUsed/>
    <w:pPr>
      <w:ind w:left="567"/>
      <w:spacing w:after="57"/>
    </w:pPr>
  </w:style>
  <w:style w:type="paragraph" w:styleId="949">
    <w:name w:val="toc 4"/>
    <w:basedOn w:val="761"/>
    <w:next w:val="761"/>
    <w:uiPriority w:val="39"/>
    <w:unhideWhenUsed/>
    <w:pPr>
      <w:ind w:left="850"/>
      <w:spacing w:after="57"/>
    </w:pPr>
  </w:style>
  <w:style w:type="paragraph" w:styleId="950">
    <w:name w:val="toc 5"/>
    <w:basedOn w:val="761"/>
    <w:next w:val="761"/>
    <w:uiPriority w:val="39"/>
    <w:unhideWhenUsed/>
    <w:pPr>
      <w:ind w:left="1134"/>
      <w:spacing w:after="57"/>
    </w:pPr>
  </w:style>
  <w:style w:type="paragraph" w:styleId="951">
    <w:name w:val="toc 6"/>
    <w:basedOn w:val="761"/>
    <w:next w:val="761"/>
    <w:uiPriority w:val="39"/>
    <w:unhideWhenUsed/>
    <w:pPr>
      <w:ind w:left="1417"/>
      <w:spacing w:after="57"/>
    </w:pPr>
  </w:style>
  <w:style w:type="paragraph" w:styleId="952">
    <w:name w:val="toc 7"/>
    <w:basedOn w:val="761"/>
    <w:next w:val="761"/>
    <w:uiPriority w:val="39"/>
    <w:unhideWhenUsed/>
    <w:pPr>
      <w:ind w:left="1701"/>
      <w:spacing w:after="57"/>
    </w:pPr>
  </w:style>
  <w:style w:type="paragraph" w:styleId="953">
    <w:name w:val="toc 8"/>
    <w:basedOn w:val="761"/>
    <w:next w:val="761"/>
    <w:uiPriority w:val="39"/>
    <w:unhideWhenUsed/>
    <w:pPr>
      <w:ind w:left="1984"/>
      <w:spacing w:after="57"/>
    </w:pPr>
  </w:style>
  <w:style w:type="paragraph" w:styleId="954">
    <w:name w:val="toc 9"/>
    <w:basedOn w:val="761"/>
    <w:next w:val="761"/>
    <w:uiPriority w:val="39"/>
    <w:unhideWhenUsed/>
    <w:pPr>
      <w:ind w:left="2268"/>
      <w:spacing w:after="57"/>
    </w:pPr>
  </w:style>
  <w:style w:type="paragraph" w:styleId="955">
    <w:name w:val="TOC Heading"/>
    <w:uiPriority w:val="39"/>
    <w:unhideWhenUsed/>
    <w:rPr>
      <w:lang w:eastAsia="zh-CN"/>
    </w:rPr>
  </w:style>
  <w:style w:type="paragraph" w:styleId="956">
    <w:name w:val="table of figures"/>
    <w:basedOn w:val="761"/>
    <w:next w:val="761"/>
    <w:uiPriority w:val="99"/>
    <w:unhideWhenUsed/>
  </w:style>
  <w:style w:type="paragraph" w:styleId="957">
    <w:name w:val="Body Text"/>
    <w:basedOn w:val="761"/>
    <w:link w:val="981"/>
    <w:pPr>
      <w:ind w:right="3117"/>
    </w:pPr>
    <w:rPr>
      <w:rFonts w:ascii="Courier New" w:hAnsi="Courier New"/>
      <w:sz w:val="26"/>
    </w:rPr>
  </w:style>
  <w:style w:type="paragraph" w:styleId="958">
    <w:name w:val="Body Text Indent"/>
    <w:basedOn w:val="761"/>
    <w:pPr>
      <w:ind w:right="-1"/>
      <w:jc w:val="both"/>
    </w:pPr>
    <w:rPr>
      <w:sz w:val="26"/>
    </w:rPr>
  </w:style>
  <w:style w:type="character" w:styleId="959">
    <w:name w:val="page number"/>
    <w:basedOn w:val="771"/>
  </w:style>
  <w:style w:type="paragraph" w:styleId="960">
    <w:name w:val="Balloon Text"/>
    <w:basedOn w:val="761"/>
    <w:link w:val="961"/>
    <w:uiPriority w:val="99"/>
    <w:rPr>
      <w:rFonts w:ascii="Segoe UI" w:hAnsi="Segoe UI" w:cs="Segoe UI"/>
      <w:sz w:val="18"/>
      <w:szCs w:val="18"/>
    </w:rPr>
  </w:style>
  <w:style w:type="character" w:styleId="961" w:customStyle="1">
    <w:name w:val="Текст выноски Знак"/>
    <w:link w:val="960"/>
    <w:uiPriority w:val="99"/>
    <w:rPr>
      <w:rFonts w:ascii="Segoe UI" w:hAnsi="Segoe UI" w:cs="Segoe UI"/>
      <w:sz w:val="18"/>
      <w:szCs w:val="18"/>
    </w:rPr>
  </w:style>
  <w:style w:type="character" w:styleId="962" w:customStyle="1">
    <w:name w:val="Верхний колонтитул Знак"/>
    <w:link w:val="807"/>
    <w:uiPriority w:val="99"/>
  </w:style>
  <w:style w:type="numbering" w:styleId="963" w:customStyle="1">
    <w:name w:val="Нет списка1"/>
    <w:next w:val="773"/>
    <w:semiHidden/>
    <w:unhideWhenUsed/>
  </w:style>
  <w:style w:type="character" w:styleId="964">
    <w:name w:val="FollowedHyperlink"/>
    <w:uiPriority w:val="99"/>
    <w:unhideWhenUsed/>
    <w:rPr>
      <w:color w:val="800080"/>
      <w:u w:val="single"/>
    </w:rPr>
  </w:style>
  <w:style w:type="paragraph" w:styleId="965" w:customStyle="1">
    <w:name w:val="xl65"/>
    <w:basedOn w:val="76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66" w:customStyle="1">
    <w:name w:val="xl66"/>
    <w:basedOn w:val="76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67" w:customStyle="1">
    <w:name w:val="xl67"/>
    <w:basedOn w:val="76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8" w:customStyle="1">
    <w:name w:val="xl68"/>
    <w:basedOn w:val="76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69" w:customStyle="1">
    <w:name w:val="xl69"/>
    <w:basedOn w:val="76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70" w:customStyle="1">
    <w:name w:val="xl70"/>
    <w:basedOn w:val="76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71" w:customStyle="1">
    <w:name w:val="xl71"/>
    <w:basedOn w:val="76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72" w:customStyle="1">
    <w:name w:val="xl72"/>
    <w:basedOn w:val="76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73" w:customStyle="1">
    <w:name w:val="xl73"/>
    <w:basedOn w:val="76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74" w:customStyle="1">
    <w:name w:val="xl74"/>
    <w:basedOn w:val="76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75" w:customStyle="1">
    <w:name w:val="xl75"/>
    <w:basedOn w:val="761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76" w:customStyle="1">
    <w:name w:val="xl76"/>
    <w:basedOn w:val="76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77" w:customStyle="1">
    <w:name w:val="xl77"/>
    <w:basedOn w:val="761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78" w:customStyle="1">
    <w:name w:val="xl78"/>
    <w:basedOn w:val="76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79" w:customStyle="1">
    <w:name w:val="xl79"/>
    <w:basedOn w:val="76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80" w:customStyle="1">
    <w:name w:val="Форма"/>
    <w:rPr>
      <w:sz w:val="28"/>
      <w:szCs w:val="28"/>
    </w:rPr>
  </w:style>
  <w:style w:type="character" w:styleId="981" w:customStyle="1">
    <w:name w:val="Основной текст Знак"/>
    <w:link w:val="957"/>
    <w:rPr>
      <w:rFonts w:ascii="Courier New" w:hAnsi="Courier New"/>
      <w:sz w:val="26"/>
    </w:rPr>
  </w:style>
  <w:style w:type="paragraph" w:styleId="982" w:customStyle="1">
    <w:name w:val="ConsPlusNormal"/>
    <w:rPr>
      <w:sz w:val="28"/>
      <w:szCs w:val="28"/>
    </w:rPr>
  </w:style>
  <w:style w:type="numbering" w:styleId="983" w:customStyle="1">
    <w:name w:val="Нет списка11"/>
    <w:next w:val="773"/>
    <w:semiHidden/>
    <w:unhideWhenUsed/>
  </w:style>
  <w:style w:type="numbering" w:styleId="984" w:customStyle="1">
    <w:name w:val="Нет списка111"/>
    <w:next w:val="773"/>
    <w:uiPriority w:val="99"/>
    <w:semiHidden/>
    <w:unhideWhenUsed/>
  </w:style>
  <w:style w:type="paragraph" w:styleId="985" w:customStyle="1">
    <w:name w:val="font5"/>
    <w:basedOn w:val="761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86" w:customStyle="1">
    <w:name w:val="xl80"/>
    <w:basedOn w:val="76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87" w:customStyle="1">
    <w:name w:val="xl81"/>
    <w:basedOn w:val="76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88" w:customStyle="1">
    <w:name w:val="xl82"/>
    <w:basedOn w:val="761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989" w:customStyle="1">
    <w:name w:val="xl83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90" w:customStyle="1">
    <w:name w:val="xl84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91" w:customStyle="1">
    <w:name w:val="xl85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92" w:customStyle="1">
    <w:name w:val="xl86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93" w:customStyle="1">
    <w:name w:val="xl87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94" w:customStyle="1">
    <w:name w:val="xl88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95" w:customStyle="1">
    <w:name w:val="xl89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96" w:customStyle="1">
    <w:name w:val="xl90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97" w:customStyle="1">
    <w:name w:val="xl91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98" w:customStyle="1">
    <w:name w:val="xl92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99" w:customStyle="1">
    <w:name w:val="xl93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1000" w:customStyle="1">
    <w:name w:val="xl94"/>
    <w:basedOn w:val="761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01" w:customStyle="1">
    <w:name w:val="xl95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02" w:customStyle="1">
    <w:name w:val="xl96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03" w:customStyle="1">
    <w:name w:val="xl97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1004" w:customStyle="1">
    <w:name w:val="xl98"/>
    <w:basedOn w:val="76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1005" w:customStyle="1">
    <w:name w:val="xl99"/>
    <w:basedOn w:val="761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1006" w:customStyle="1">
    <w:name w:val="xl100"/>
    <w:basedOn w:val="76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7" w:customStyle="1">
    <w:name w:val="xl101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8" w:customStyle="1">
    <w:name w:val="xl102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09" w:customStyle="1">
    <w:name w:val="xl103"/>
    <w:basedOn w:val="76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0" w:customStyle="1">
    <w:name w:val="xl104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1" w:customStyle="1">
    <w:name w:val="xl105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2" w:customStyle="1">
    <w:name w:val="xl106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1013" w:customStyle="1">
    <w:name w:val="xl107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4" w:customStyle="1">
    <w:name w:val="xl108"/>
    <w:basedOn w:val="76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5" w:customStyle="1">
    <w:name w:val="xl109"/>
    <w:basedOn w:val="76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6" w:customStyle="1">
    <w:name w:val="xl110"/>
    <w:basedOn w:val="76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7" w:customStyle="1">
    <w:name w:val="xl111"/>
    <w:basedOn w:val="76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18" w:customStyle="1">
    <w:name w:val="xl112"/>
    <w:basedOn w:val="761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1019" w:customStyle="1">
    <w:name w:val="xl113"/>
    <w:basedOn w:val="76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20" w:customStyle="1">
    <w:name w:val="xl114"/>
    <w:basedOn w:val="76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21" w:customStyle="1">
    <w:name w:val="xl115"/>
    <w:basedOn w:val="761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1022" w:customStyle="1">
    <w:name w:val="xl116"/>
    <w:basedOn w:val="76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23" w:customStyle="1">
    <w:name w:val="xl117"/>
    <w:basedOn w:val="761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24" w:customStyle="1">
    <w:name w:val="xl118"/>
    <w:basedOn w:val="761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25" w:customStyle="1">
    <w:name w:val="xl119"/>
    <w:basedOn w:val="761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26" w:customStyle="1">
    <w:name w:val="xl120"/>
    <w:basedOn w:val="76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27" w:customStyle="1">
    <w:name w:val="xl121"/>
    <w:basedOn w:val="76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28" w:customStyle="1">
    <w:name w:val="xl122"/>
    <w:basedOn w:val="76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1029" w:customStyle="1">
    <w:name w:val="xl123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30" w:customStyle="1">
    <w:name w:val="xl124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1031" w:customStyle="1">
    <w:name w:val="xl125"/>
    <w:basedOn w:val="76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1032" w:customStyle="1">
    <w:name w:val="Нет списка2"/>
    <w:next w:val="773"/>
    <w:uiPriority w:val="99"/>
    <w:semiHidden/>
    <w:unhideWhenUsed/>
  </w:style>
  <w:style w:type="numbering" w:styleId="1033" w:customStyle="1">
    <w:name w:val="Нет списка3"/>
    <w:next w:val="773"/>
    <w:uiPriority w:val="99"/>
    <w:semiHidden/>
    <w:unhideWhenUsed/>
  </w:style>
  <w:style w:type="paragraph" w:styleId="1034" w:customStyle="1">
    <w:name w:val="font6"/>
    <w:basedOn w:val="761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35" w:customStyle="1">
    <w:name w:val="font7"/>
    <w:basedOn w:val="761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1036" w:customStyle="1">
    <w:name w:val="font8"/>
    <w:basedOn w:val="761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1037" w:customStyle="1">
    <w:name w:val="Нет списка4"/>
    <w:next w:val="773"/>
    <w:uiPriority w:val="99"/>
    <w:semiHidden/>
    <w:unhideWhenUsed/>
  </w:style>
  <w:style w:type="character" w:styleId="1038" w:customStyle="1">
    <w:name w:val="Нижний колонтитул Знак"/>
    <w:link w:val="809"/>
    <w:uiPriority w:val="99"/>
  </w:style>
  <w:style w:type="numbering" w:styleId="1039" w:customStyle="1">
    <w:name w:val="Нет списка5"/>
    <w:next w:val="773"/>
    <w:semiHidden/>
  </w:style>
  <w:style w:type="paragraph" w:styleId="1040" w:customStyle="1">
    <w:name w:val="Приложение"/>
    <w:basedOn w:val="957"/>
    <w:pPr>
      <w:ind w:left="1985" w:right="0" w:hanging="1985"/>
      <w:jc w:val="both"/>
      <w:spacing w:before="240" w:line="240" w:lineRule="exact"/>
      <w:tabs>
        <w:tab w:val="left" w:pos="1673" w:leader="none"/>
      </w:tabs>
    </w:pPr>
    <w:rPr>
      <w:rFonts w:ascii="Times New Roman" w:hAnsi="Times New Roman"/>
      <w:sz w:val="28"/>
    </w:rPr>
  </w:style>
  <w:style w:type="paragraph" w:styleId="1041" w:customStyle="1">
    <w:name w:val="Подпись на  бланке должностного лица"/>
    <w:basedOn w:val="761"/>
    <w:next w:val="957"/>
    <w:pPr>
      <w:ind w:left="7088"/>
      <w:spacing w:before="480" w:line="240" w:lineRule="exact"/>
    </w:pPr>
    <w:rPr>
      <w:sz w:val="28"/>
    </w:rPr>
  </w:style>
  <w:style w:type="paragraph" w:styleId="1042">
    <w:name w:val="Signature"/>
    <w:basedOn w:val="761"/>
    <w:next w:val="957"/>
    <w:link w:val="1043"/>
    <w:pPr>
      <w:spacing w:before="480" w:line="240" w:lineRule="exact"/>
      <w:tabs>
        <w:tab w:val="left" w:pos="5103" w:leader="none"/>
        <w:tab w:val="right" w:pos="9639" w:leader="none"/>
      </w:tabs>
    </w:pPr>
    <w:rPr>
      <w:sz w:val="28"/>
    </w:rPr>
  </w:style>
  <w:style w:type="character" w:styleId="1043" w:customStyle="1">
    <w:name w:val="Подпись Знак"/>
    <w:link w:val="1042"/>
    <w:rPr>
      <w:sz w:val="28"/>
    </w:rPr>
  </w:style>
  <w:style w:type="character" w:styleId="1044">
    <w:name w:val="Emphasis"/>
    <w:qFormat/>
    <w:rPr>
      <w:i/>
      <w:iCs/>
    </w:rPr>
  </w:style>
  <w:style w:type="character" w:styleId="1045" w:customStyle="1">
    <w:name w:val="Заголовок 1 Знак"/>
    <w:link w:val="762"/>
    <w:uiPriority w:val="9"/>
    <w:rPr>
      <w:sz w:val="24"/>
    </w:rPr>
  </w:style>
  <w:style w:type="character" w:styleId="1046">
    <w:name w:val="annotation reference"/>
    <w:uiPriority w:val="99"/>
    <w:unhideWhenUsed/>
    <w:rPr>
      <w:sz w:val="16"/>
      <w:szCs w:val="16"/>
    </w:rPr>
  </w:style>
  <w:style w:type="paragraph" w:styleId="1047">
    <w:name w:val="annotation text"/>
    <w:basedOn w:val="761"/>
    <w:link w:val="1048"/>
    <w:uiPriority w:val="99"/>
    <w:unhideWhenUsed/>
    <w:pPr>
      <w:spacing w:after="160"/>
    </w:pPr>
    <w:rPr>
      <w:rFonts w:eastAsia="Calibri"/>
      <w:lang w:eastAsia="en-US"/>
    </w:rPr>
  </w:style>
  <w:style w:type="character" w:styleId="1048" w:customStyle="1">
    <w:name w:val="Текст примечания Знак"/>
    <w:link w:val="1047"/>
    <w:uiPriority w:val="99"/>
    <w:rPr>
      <w:rFonts w:eastAsia="Calibri"/>
      <w:lang w:eastAsia="en-US"/>
    </w:rPr>
  </w:style>
  <w:style w:type="paragraph" w:styleId="1049">
    <w:name w:val="annotation subject"/>
    <w:basedOn w:val="1047"/>
    <w:next w:val="1047"/>
    <w:link w:val="1050"/>
    <w:uiPriority w:val="99"/>
    <w:unhideWhenUsed/>
    <w:rPr>
      <w:b/>
      <w:bCs/>
    </w:rPr>
  </w:style>
  <w:style w:type="character" w:styleId="1050" w:customStyle="1">
    <w:name w:val="Тема примечания Знак"/>
    <w:link w:val="1049"/>
    <w:uiPriority w:val="99"/>
    <w:rPr>
      <w:rFonts w:eastAsia="Calibri"/>
      <w:b/>
      <w:bCs/>
      <w:lang w:eastAsia="en-US"/>
    </w:rPr>
  </w:style>
  <w:style w:type="paragraph" w:styleId="1051" w:customStyle="1">
    <w:name w:val="Default"/>
    <w:rPr>
      <w:color w:val="000000"/>
      <w:sz w:val="24"/>
      <w:szCs w:val="24"/>
    </w:rPr>
  </w:style>
  <w:style w:type="paragraph" w:styleId="1052">
    <w:name w:val="Normal (Web)"/>
    <w:basedOn w:val="761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numbering" w:styleId="1053" w:customStyle="1">
    <w:name w:val="Нет списка6"/>
    <w:next w:val="773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customXml" Target="../customXml/item1.xml" /><Relationship Id="rId14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6760B-80F5-41C7-8980-613D3DB56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samokhvalova-ev</cp:lastModifiedBy>
  <cp:revision>157</cp:revision>
  <dcterms:created xsi:type="dcterms:W3CDTF">2024-02-07T07:37:00Z</dcterms:created>
  <dcterms:modified xsi:type="dcterms:W3CDTF">2026-09-17T11:03:48Z</dcterms:modified>
  <cp:version>1048576</cp:version>
</cp:coreProperties>
</file>