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98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8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98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8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899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582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582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24.09.2026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24.09.2026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26"/>
        <w:ind w:right="-2"/>
        <w:jc w:val="center"/>
        <w:spacing w:line="240" w:lineRule="exact"/>
        <w:tabs>
          <w:tab w:val="left" w:pos="0" w:leader="none"/>
        </w:tabs>
        <w:rPr>
          <w:b/>
          <w:szCs w:val="24"/>
        </w:rPr>
      </w:pPr>
      <w:r>
        <w:rPr>
          <w:b/>
          <w:szCs w:val="24"/>
        </w:rPr>
        <w:t xml:space="preserve">Об утверждении размера нормативных затрат на оказание муниципальной услуги «</w:t>
      </w:r>
      <w:r>
        <w:rPr>
          <w:b/>
        </w:rPr>
        <w:t xml:space="preserve">Реализация дополнительных общеразвивающих программ</w:t>
      </w:r>
      <w:r>
        <w:rPr>
          <w:b/>
          <w:szCs w:val="24"/>
        </w:rPr>
        <w:t xml:space="preserve">» </w:t>
        <w:br/>
        <w:t xml:space="preserve">на 202</w:t>
      </w:r>
      <w:r>
        <w:rPr>
          <w:b/>
          <w:szCs w:val="24"/>
        </w:rPr>
        <w:t xml:space="preserve">7</w:t>
      </w:r>
      <w:r>
        <w:rPr>
          <w:b/>
          <w:szCs w:val="24"/>
        </w:rPr>
        <w:t xml:space="preserve"> год и плановый период 202</w:t>
      </w:r>
      <w:r>
        <w:rPr>
          <w:b/>
          <w:szCs w:val="24"/>
        </w:rPr>
        <w:t xml:space="preserve">8</w:t>
      </w:r>
      <w:r>
        <w:rPr>
          <w:b/>
          <w:szCs w:val="24"/>
        </w:rPr>
        <w:t xml:space="preserve"> и 202</w:t>
      </w:r>
      <w:r>
        <w:rPr>
          <w:b/>
          <w:szCs w:val="24"/>
        </w:rPr>
        <w:t xml:space="preserve">9</w:t>
      </w:r>
      <w:r>
        <w:rPr>
          <w:b/>
          <w:szCs w:val="24"/>
        </w:rPr>
        <w:t xml:space="preserve"> годов, размера нормативных</w:t>
      </w:r>
      <w:r>
        <w:rPr>
          <w:b/>
        </w:rPr>
        <w:t xml:space="preserve"> </w:t>
        <w:br/>
        <w:t xml:space="preserve">затрат на оказание муниципальной услуги «Реализация дополнительных </w:t>
        <w:br/>
        <w:t xml:space="preserve">общеразвивающих программ» на 202</w:t>
      </w:r>
      <w:r>
        <w:rPr>
          <w:b/>
        </w:rPr>
        <w:t xml:space="preserve">7</w:t>
      </w:r>
      <w:r>
        <w:rPr>
          <w:b/>
        </w:rPr>
        <w:t xml:space="preserve"> год и </w:t>
      </w:r>
      <w:r>
        <w:rPr>
          <w:b/>
          <w:szCs w:val="24"/>
        </w:rPr>
        <w:t xml:space="preserve">плановый период 202</w:t>
      </w:r>
      <w:r>
        <w:rPr>
          <w:b/>
          <w:szCs w:val="24"/>
        </w:rPr>
        <w:t xml:space="preserve">8</w:t>
      </w:r>
      <w:r>
        <w:rPr>
          <w:b/>
          <w:szCs w:val="24"/>
        </w:rPr>
        <w:t xml:space="preserve"> </w:t>
        <w:br/>
        <w:t xml:space="preserve">и 202</w:t>
      </w:r>
      <w:r>
        <w:rPr>
          <w:b/>
          <w:szCs w:val="24"/>
        </w:rPr>
        <w:t xml:space="preserve">9</w:t>
      </w:r>
      <w:r>
        <w:rPr>
          <w:b/>
          <w:szCs w:val="24"/>
        </w:rPr>
        <w:t xml:space="preserve"> годов </w:t>
      </w:r>
      <w:r>
        <w:rPr>
          <w:b/>
        </w:rPr>
        <w:t xml:space="preserve">с учетом отраслевых корректирующих коэффициентов, </w:t>
        <w:br/>
        <w:t xml:space="preserve">значений отраслевых</w:t>
      </w:r>
      <w:r>
        <w:rPr>
          <w:b/>
        </w:rPr>
        <w:t xml:space="preserve"> </w:t>
      </w:r>
      <w:r>
        <w:rPr>
          <w:b/>
        </w:rPr>
        <w:t xml:space="preserve">корректирующих коэффициентов и значе</w:t>
      </w:r>
      <w:r>
        <w:rPr>
          <w:b/>
        </w:rPr>
        <w:t xml:space="preserve">н</w:t>
      </w:r>
      <w:r>
        <w:rPr>
          <w:b/>
        </w:rPr>
        <w:t xml:space="preserve">ий </w:t>
        <w:br/>
        <w:t xml:space="preserve">натуральных норм, необходимых для определения базовых нормативов </w:t>
        <w:br/>
        <w:t xml:space="preserve">затрат на оказание муниципальной услуги «Реализация дополнительных </w:t>
        <w:br/>
        <w:t xml:space="preserve">общеразвивающих программ» </w:t>
      </w:r>
      <w:r>
        <w:rPr>
          <w:b/>
          <w:szCs w:val="24"/>
        </w:rPr>
        <w:br/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899"/>
        <w:contextualSpacing/>
        <w:ind w:right="0"/>
        <w:jc w:val="both"/>
        <w:spacing w:line="240" w:lineRule="exac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899"/>
        <w:ind w:right="0"/>
        <w:jc w:val="both"/>
        <w:spacing w:line="240" w:lineRule="exac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06 октября 2003 г. </w:t>
      </w:r>
      <w:hyperlink r:id="rId13" w:tooltip="https://login.consultant.ru/link/?req=doc&amp;base=LAW&amp;n=389428&amp;date=08.10.2021" w:history="1">
        <w:r>
          <w:rPr>
            <w:sz w:val="28"/>
            <w:szCs w:val="28"/>
          </w:rPr>
          <w:t xml:space="preserve">№ 131-ФЗ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от 20 марта 2025 г. № 33-ФЗ «Об общих принципах организации местного самоуправления в единой системе публичной власти», </w:t>
      </w:r>
      <w:hyperlink r:id="rId14" w:tooltip="https://login.consultant.ru/link/?req=doc&amp;base=RLAW368&amp;n=152230&amp;dst=100022&amp;field=134&amp;date=08.10.2021" w:history="1">
        <w:r>
          <w:rPr>
            <w:sz w:val="28"/>
            <w:szCs w:val="28"/>
          </w:rPr>
          <w:t xml:space="preserve">Уставом</w:t>
        </w:r>
      </w:hyperlink>
      <w:r>
        <w:rPr>
          <w:sz w:val="28"/>
          <w:szCs w:val="28"/>
        </w:rPr>
        <w:t xml:space="preserve"> города Перми, постановлениями администрации города Перми от 30 ноября 2007 г. № 502 «О Порядке формирования, размещения, финансового обеспечения и контр</w:t>
      </w:r>
      <w:r>
        <w:rPr>
          <w:sz w:val="28"/>
          <w:szCs w:val="28"/>
        </w:rPr>
        <w:t xml:space="preserve">оля выполнения муниципального задания на оказание муниципальных услуг (выполнение работ)», от 17 октября 2024 г. № 900 «Об утверждении Методики расчета нормативных затрат на оказание муниципальной услуги «Реализация дополнительных общеразвивающих программ»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прилагаемые: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размер нормативных затрат на оказание муниципальной услуги «Реализация дополнительных общеразвивающих программ» на 202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и плановый период 202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 годов;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размер нормативных затрат на оказание муниципальной услуги «Реализация дополнительных общеразвивающих программ»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2027 год и </w:t>
      </w:r>
      <w:r>
        <w:rPr>
          <w:sz w:val="28"/>
          <w:szCs w:val="28"/>
        </w:rPr>
        <w:t xml:space="preserve">плановый период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 годы с учетом отраслевых корректирующих коэффициентов;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значения отраслевых корректирующих коэффициентов;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значения натуральных норм, необходимых для определения базовых нормативов затрат на оказание муниципальной услуги «Реализация дополнительных общеразвивающих программ».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87"/>
        <w:ind w:firstLine="709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 01 января 202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Управлению по общим вопр</w:t>
      </w:r>
      <w:r>
        <w:rPr>
          <w:sz w:val="28"/>
          <w:szCs w:val="28"/>
        </w:rPr>
        <w:t xml:space="preserve">осам администрации города Перми обеспечить обнародование настоящего постановления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в сетевом издании «Официальный сайт муниципального образования город Пермь www.gorodperm.ru».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за исполнением настоящего постановления возложить </w:t>
      </w:r>
      <w:r>
        <w:rPr>
          <w:sz w:val="28"/>
          <w:szCs w:val="28"/>
        </w:rPr>
        <w:br/>
        <w:t xml:space="preserve">на </w:t>
      </w:r>
      <w:r>
        <w:rPr>
          <w:sz w:val="28"/>
          <w:szCs w:val="28"/>
        </w:rPr>
        <w:t xml:space="preserve">исполняющего обязанности </w:t>
      </w:r>
      <w:r>
        <w:rPr>
          <w:sz w:val="28"/>
          <w:szCs w:val="28"/>
        </w:rPr>
        <w:t xml:space="preserve">заместителя главы</w:t>
      </w:r>
      <w:r>
        <w:rPr>
          <w:sz w:val="28"/>
          <w:szCs w:val="28"/>
        </w:rPr>
        <w:t xml:space="preserve"> администрации города Перми Ершову О.С.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                                                                             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954"/>
        <w:spacing w:line="240" w:lineRule="exact"/>
        <w:rPr>
          <w:sz w:val="28"/>
          <w:szCs w:val="28"/>
        </w:rPr>
        <w:sectPr>
          <w:headerReference w:type="default" r:id="rId8"/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УТВЕРЖДЕН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  <w:br/>
        <w:t xml:space="preserve">города Перми </w:t>
      </w:r>
      <w:r>
        <w:rPr>
          <w:sz w:val="28"/>
          <w:szCs w:val="28"/>
        </w:rPr>
        <w:br/>
        <w:t xml:space="preserve">от </w:t>
      </w:r>
      <w:r>
        <w:rPr>
          <w:sz w:val="28"/>
          <w:szCs w:val="28"/>
        </w:rPr>
        <w:t xml:space="preserve">24.09.2026 № 582</w:t>
      </w:r>
      <w:r>
        <w:rPr>
          <w:sz w:val="28"/>
          <w:szCs w:val="28"/>
        </w:rPr>
      </w:r>
    </w:p>
    <w:p>
      <w:pPr>
        <w:ind w:left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РАЗМЕР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нормативных затрат на оказание муниципальной услуги </w:t>
      </w:r>
      <w:r>
        <w:rPr>
          <w:b/>
          <w:sz w:val="28"/>
          <w:szCs w:val="28"/>
        </w:rPr>
        <w:br/>
        <w:t xml:space="preserve">«Реализация дополнительных общеразвивающих программ» на 202</w:t>
      </w:r>
      <w:r>
        <w:rPr>
          <w:b/>
          <w:sz w:val="28"/>
          <w:szCs w:val="28"/>
        </w:rPr>
        <w:t xml:space="preserve">7</w:t>
      </w:r>
      <w:r>
        <w:rPr>
          <w:b/>
          <w:sz w:val="28"/>
          <w:szCs w:val="28"/>
        </w:rPr>
        <w:t xml:space="preserve"> год </w:t>
      </w:r>
      <w:r>
        <w:rPr>
          <w:b/>
          <w:sz w:val="28"/>
          <w:szCs w:val="28"/>
        </w:rPr>
        <w:br/>
        <w:t xml:space="preserve">и плановый период 202</w:t>
      </w:r>
      <w:r>
        <w:rPr>
          <w:b/>
          <w:sz w:val="28"/>
          <w:szCs w:val="28"/>
        </w:rPr>
        <w:t xml:space="preserve">8</w:t>
      </w:r>
      <w:r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 xml:space="preserve">9</w:t>
      </w:r>
      <w:r>
        <w:rPr>
          <w:b/>
          <w:sz w:val="28"/>
          <w:szCs w:val="28"/>
        </w:rPr>
        <w:t xml:space="preserve"> годов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sz w:val="2"/>
        </w:rPr>
      </w:pPr>
      <w:r>
        <w:rPr>
          <w:sz w:val="2"/>
        </w:rPr>
      </w:r>
      <w:r>
        <w:rPr>
          <w:sz w:val="2"/>
        </w:rPr>
      </w:r>
      <w:r>
        <w:rPr>
          <w:sz w:val="2"/>
        </w:rPr>
      </w:r>
    </w:p>
    <w:tbl>
      <w:tblPr>
        <w:tblW w:w="5000" w:type="pct"/>
        <w:tblLook w:val="0020" w:firstRow="1" w:lastRow="0" w:firstColumn="0" w:lastColumn="0" w:noHBand="0" w:noVBand="0"/>
      </w:tblPr>
      <w:tblGrid>
        <w:gridCol w:w="8351"/>
        <w:gridCol w:w="1786"/>
      </w:tblGrid>
      <w:tr>
        <w:tblPrEx/>
        <w:trPr>
          <w:trHeight w:val="812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Направления затрат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Размер, руб.</w:t>
            </w:r>
            <w:r/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5000" w:type="pct"/>
        <w:tblLook w:val="0020" w:firstRow="1" w:lastRow="0" w:firstColumn="0" w:lastColumn="0" w:noHBand="0" w:noVBand="0"/>
      </w:tblPr>
      <w:tblGrid>
        <w:gridCol w:w="8351"/>
        <w:gridCol w:w="1786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2</w:t>
            </w:r>
            <w:r/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202</w:t>
            </w:r>
            <w:r>
              <w:t xml:space="preserve">7</w:t>
            </w:r>
            <w:r>
              <w:t xml:space="preserve"> год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1. Базовый норматив затрат на выполнение муниципальной услуги, в том числе: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333,71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базовый норматив затрат, непосредственно связанных с оказанием муниципальной услуги, в том числе: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226,46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затраты на оплату труда работников, непосредственно связанных </w:t>
            </w:r>
            <w:r/>
          </w:p>
          <w:p>
            <w:pPr>
              <w:pStyle w:val="928"/>
            </w:pPr>
            <w:r>
              <w:t xml:space="preserve">с оказанием муниципальной услуги, и начисления на выплаты </w:t>
            </w:r>
            <w:r/>
          </w:p>
          <w:p>
            <w:pPr>
              <w:pStyle w:val="928"/>
            </w:pPr>
            <w:r>
              <w:t xml:space="preserve">по оплате труда работников, непосредственно связанных </w:t>
            </w:r>
            <w:r/>
          </w:p>
          <w:p>
            <w:pPr>
              <w:pStyle w:val="928"/>
            </w:pPr>
            <w:r>
              <w:t xml:space="preserve">с оказанием муниципальной услуги, включая страховые взносы </w:t>
            </w:r>
            <w:r/>
          </w:p>
          <w:p>
            <w:pPr>
              <w:pStyle w:val="928"/>
            </w:pPr>
            <w:r>
              <w:t xml:space="preserve">в Фонд пенсионного и социального страхования Российской Федерации, Федеральный фонд обязательного медицинского страхования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189,01</w:t>
            </w:r>
            <w:r/>
          </w:p>
        </w:tc>
      </w:tr>
      <w:tr>
        <w:tblPrEx/>
        <w:trPr>
          <w:trHeight w:val="7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затраты на приобретение материальных запасов и движимого имущества (основных средств </w:t>
            </w:r>
            <w:r>
              <w:t xml:space="preserve">и нематериальных активов), используемого в процессе выполнения муниципальной услуги, с учетом срока его полезного использования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37,02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  <w:rPr>
                <w:color w:val="ff0000"/>
              </w:rPr>
            </w:pPr>
            <w:r>
              <w:t xml:space="preserve">иные затраты, непосредственно связанные с оказанием муниципальной услуги, в том числе затраты на оплату коммунальных услуг </w:t>
            </w: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0,43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базовый норматив затрат на общехозяйственные нужды </w:t>
            </w:r>
            <w:r/>
          </w:p>
          <w:p>
            <w:pPr>
              <w:pStyle w:val="928"/>
            </w:pPr>
            <w:r>
              <w:t xml:space="preserve">на выполнение муниципальной услуги, в том числе: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107,25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затраты на оплату труда работников, которые не принимают непосредственного участия в выполнении муниципальной услуги, </w:t>
            </w:r>
            <w:r>
              <w:br/>
              <w:t xml:space="preserve">и начисления на выплаты по оплате труда работников, которые </w:t>
            </w:r>
            <w:r>
              <w:br/>
              <w:t xml:space="preserve">не принимают непосредственного участия в выполнении муниципальной услуги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106,17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затраты на коммунальные услуги, за исключением затрат, непосредственно связанных с оказанием муниципальной услуги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0,86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затраты на прочие общехозяйственные нужды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0,22</w:t>
            </w:r>
            <w:r/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pStyle w:val="928"/>
              <w:jc w:val="center"/>
              <w:keepNext/>
            </w:pPr>
            <w:r>
              <w:t xml:space="preserve">202</w:t>
            </w:r>
            <w:r>
              <w:t xml:space="preserve">8</w:t>
            </w:r>
            <w:r>
              <w:t xml:space="preserve"> год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1. Базовый норматив затрат на выполнение муниципальной услуги, </w:t>
            </w:r>
            <w:r>
              <w:t xml:space="preserve">в том числе: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333,71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базовый норматив затрат, непосредственно связанных с оказанием муниципальной услуги, в том числе: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226,46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затраты на оплату труда работников, непосредственно связанных </w:t>
            </w:r>
            <w:r/>
          </w:p>
          <w:p>
            <w:pPr>
              <w:pStyle w:val="928"/>
            </w:pPr>
            <w:r>
              <w:t xml:space="preserve">с оказанием муниципальной услуги, и начисления на выплаты </w:t>
            </w:r>
            <w:r/>
          </w:p>
          <w:p>
            <w:pPr>
              <w:pStyle w:val="928"/>
            </w:pPr>
            <w:r>
              <w:t xml:space="preserve">по оплате труда работников, непосредственно связанных с оказанием муниципальной услуги, включая страховые взносы </w:t>
            </w:r>
            <w:r/>
          </w:p>
          <w:p>
            <w:pPr>
              <w:pStyle w:val="928"/>
            </w:pPr>
            <w:r>
              <w:t xml:space="preserve">в Фонд пенсионного и социального страхования Российской Федерации, Федеральный фонд обязательного медицинского страхования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189,01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затраты на приобретение материальных запасов и движимого имущества (основных средств </w:t>
            </w:r>
            <w:r>
              <w:t xml:space="preserve">и нематериальных активов), используемого в процессе выполнения муниципальной услуги, </w:t>
              <w:br/>
              <w:t xml:space="preserve">с учетом срока его полезного использования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37,02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иные затраты, непосредственно связанные с оказанием муниципальной услуги, в том числе затраты на оплату коммунальных услуг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0,43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базовый норматив затрат на общехозяйственные нужды </w:t>
            </w:r>
            <w:r/>
          </w:p>
          <w:p>
            <w:pPr>
              <w:pStyle w:val="928"/>
            </w:pPr>
            <w:r>
              <w:t xml:space="preserve">на выполнение муниципальной услуги, в том числе: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107,25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затраты на оплату труда работников, которые не принимают непосредственного участия в выполнении муниципальной услуги, </w:t>
            </w:r>
            <w:r>
              <w:br/>
              <w:t xml:space="preserve">и начисления на выплаты по оплате труда работников, которые </w:t>
            </w:r>
            <w:r>
              <w:br/>
              <w:t xml:space="preserve">не принимают непосредственного участия в выполнении муниципальной услуги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106,17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затраты на коммунальные услуги, за исключением затрат, непосредственно связанных с оказанием муниципальной услуги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0,86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затраты на прочие общехозяйственные нужды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0,22</w:t>
            </w:r>
            <w:r/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202</w:t>
            </w:r>
            <w:r>
              <w:t xml:space="preserve">9</w:t>
            </w:r>
            <w:r>
              <w:t xml:space="preserve"> год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1. Базовый норматив затрат на выполнение муниципальной услуги, в том числе: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333,71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базовый норматив затрат, непосредственно связанных </w:t>
            </w:r>
            <w:r/>
          </w:p>
          <w:p>
            <w:pPr>
              <w:pStyle w:val="928"/>
            </w:pPr>
            <w:r>
              <w:t xml:space="preserve">с оказанием муниципальной услуги, в том числе: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226,46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затраты на оплату труда работников, непосредственно связанных </w:t>
            </w:r>
            <w:r/>
          </w:p>
          <w:p>
            <w:pPr>
              <w:pStyle w:val="928"/>
            </w:pPr>
            <w:r>
              <w:t xml:space="preserve">с оказанием муниципальной услуги, и начисления на выплаты </w:t>
            </w:r>
            <w:r/>
          </w:p>
          <w:p>
            <w:pPr>
              <w:pStyle w:val="928"/>
            </w:pPr>
            <w:r>
              <w:t xml:space="preserve">по оплате труда работников, непосредственно связанных с оказанием муниципальной услуги, включая страховые взносы </w:t>
            </w:r>
            <w:r/>
          </w:p>
          <w:p>
            <w:pPr>
              <w:pStyle w:val="928"/>
            </w:pPr>
            <w:r>
              <w:t xml:space="preserve">в Фонд пенсионного и социального страхования Российской Федерации, Федеральный фонд обязательного медицинского страхования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189,01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затраты на приобретение материальных запасов и движимого имущества (основных средств </w:t>
            </w:r>
            <w:r>
              <w:t xml:space="preserve">и нематериальных активов), используемого в процессе выполнения </w:t>
            </w:r>
            <w:r>
              <w:t xml:space="preserve">муниципальной услуги, </w:t>
              <w:br/>
              <w:t xml:space="preserve">с учетом срока его полезного использования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37,02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иные затраты, непосредственно связанные с оказанием муниципальной услуги, в том числе затраты на оплату коммунальных услуг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0,43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базовый норматив затрат на общехозяйственные нужды </w:t>
            </w:r>
            <w:r/>
          </w:p>
          <w:p>
            <w:pPr>
              <w:pStyle w:val="928"/>
            </w:pPr>
            <w:r>
              <w:t xml:space="preserve">на выполнение муниципальной услуги, в том числе: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107,25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затраты на оплату труда работников, которые не принимают непосредственного участия в оказании муниципальной услуги, </w:t>
            </w:r>
            <w:r>
              <w:br/>
              <w:t xml:space="preserve">и начисления на выплаты по оплате труда работников, которые </w:t>
            </w:r>
            <w:r>
              <w:br/>
              <w:t xml:space="preserve">не принимают непосредственного участия в выполнении муниципальной услуги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106,17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затраты на коммунальные услуги, за исключением затрат, непосредственно связанных с оказанием муниципальной услуги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0,86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9" w:type="pct"/>
            <w:textDirection w:val="lrTb"/>
            <w:noWrap w:val="false"/>
          </w:tcPr>
          <w:p>
            <w:pPr>
              <w:pStyle w:val="928"/>
            </w:pPr>
            <w:r>
              <w:t xml:space="preserve">затраты на прочие общехозяйственные нужды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1" w:type="pc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0,22</w:t>
            </w:r>
            <w:r/>
          </w:p>
        </w:tc>
      </w:tr>
    </w:tbl>
    <w:p>
      <w:pPr>
        <w:pStyle w:val="928"/>
        <w:sectPr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pgNumType w:start="1"/>
          <w:cols w:num="1" w:sep="0" w:space="708" w:equalWidth="1"/>
          <w:docGrid w:linePitch="360"/>
          <w:titlePg/>
        </w:sectPr>
        <w:outlineLvl w:val="0"/>
      </w:pPr>
      <w:r/>
      <w:r/>
    </w:p>
    <w:p>
      <w:pPr>
        <w:pStyle w:val="928"/>
        <w:ind w:left="5670"/>
        <w:spacing w:line="240" w:lineRule="exact"/>
        <w:outlineLvl w:val="0"/>
      </w:pPr>
      <w:r>
        <w:t xml:space="preserve">У</w:t>
      </w:r>
      <w:r>
        <w:t xml:space="preserve">ТВЕРЖДЕН</w:t>
      </w:r>
      <w:r/>
    </w:p>
    <w:p>
      <w:pPr>
        <w:pStyle w:val="928"/>
        <w:ind w:left="5670"/>
        <w:spacing w:line="240" w:lineRule="exact"/>
        <w:outlineLvl w:val="0"/>
      </w:pPr>
      <w:r>
        <w:t xml:space="preserve">постановлением администрации </w:t>
      </w:r>
      <w:r/>
    </w:p>
    <w:p>
      <w:pPr>
        <w:pStyle w:val="928"/>
        <w:ind w:left="5670"/>
        <w:spacing w:line="240" w:lineRule="exact"/>
        <w:outlineLvl w:val="0"/>
      </w:pPr>
      <w:r>
        <w:t xml:space="preserve">города Перми </w:t>
      </w:r>
      <w:r/>
    </w:p>
    <w:p>
      <w:pPr>
        <w:pStyle w:val="928"/>
        <w:ind w:left="5670"/>
        <w:spacing w:line="240" w:lineRule="exact"/>
        <w:outlineLvl w:val="0"/>
      </w:pPr>
      <w:r>
        <w:t xml:space="preserve">от </w:t>
      </w:r>
      <w:r>
        <w:rPr>
          <w:sz w:val="28"/>
          <w:szCs w:val="28"/>
        </w:rPr>
        <w:t xml:space="preserve">24.09.2026 № 582</w:t>
      </w:r>
      <w:r/>
      <w:r/>
      <w:r/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РАЗМЕР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нормативных затрат на оказание муниципальной услуги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«Реализация дополнительных общеразвивающих </w:t>
      </w:r>
      <w:r>
        <w:rPr>
          <w:b/>
          <w:sz w:val="28"/>
          <w:szCs w:val="28"/>
        </w:rPr>
        <w:t xml:space="preserve">программ» на 2027 год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на плановый</w:t>
      </w:r>
      <w:r>
        <w:rPr>
          <w:b/>
          <w:sz w:val="28"/>
          <w:szCs w:val="28"/>
        </w:rPr>
        <w:t xml:space="preserve"> период </w:t>
      </w:r>
      <w:r>
        <w:rPr>
          <w:b/>
          <w:sz w:val="28"/>
          <w:szCs w:val="28"/>
        </w:rPr>
        <w:t xml:space="preserve">202</w:t>
      </w:r>
      <w:r>
        <w:rPr>
          <w:b/>
          <w:sz w:val="28"/>
          <w:szCs w:val="28"/>
        </w:rPr>
        <w:t xml:space="preserve">8</w:t>
      </w:r>
      <w:r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 xml:space="preserve">9</w:t>
      </w:r>
      <w:r>
        <w:rPr>
          <w:b/>
          <w:sz w:val="28"/>
          <w:szCs w:val="28"/>
        </w:rPr>
        <w:t xml:space="preserve"> годы с учетом отраслевых корректирующих коэффициентов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28"/>
        <w:ind w:left="5670"/>
        <w:spacing w:line="240" w:lineRule="exact"/>
        <w:outlineLvl w:val="0"/>
      </w:pPr>
      <w:r/>
      <w:r/>
    </w:p>
    <w:p>
      <w:pPr>
        <w:pStyle w:val="928"/>
        <w:ind w:left="5670"/>
        <w:jc w:val="right"/>
        <w:spacing w:line="240" w:lineRule="exact"/>
        <w:outlineLvl w:val="0"/>
      </w:pPr>
      <w:r>
        <w:t xml:space="preserve">руб.</w:t>
      </w:r>
      <w:r/>
    </w:p>
    <w:tbl>
      <w:tblPr>
        <w:tblW w:w="10199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4"/>
        <w:gridCol w:w="2297"/>
        <w:gridCol w:w="2099"/>
        <w:gridCol w:w="1975"/>
        <w:gridCol w:w="1994"/>
      </w:tblGrid>
      <w:tr>
        <w:tblPrEx/>
        <w:trPr>
          <w:trHeight w:val="1261"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83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Номер реестровой записи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29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муниципальной услуги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9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дополнительной образовательной программы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96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Значение нормативных затрат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оказание муниципальных услуг с учетом отраслевых корректирующих коэффициентов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3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97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99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7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наличие простого оборудования, спортивного инвентаря с учетом направления адаптированной образовательной программы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9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наличие сложного дорогостоящего оборудования, спортивного инвентаря с учетом направления адаптированной образовательной программы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tbl>
      <w:tblPr>
        <w:tblW w:w="10199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4"/>
        <w:gridCol w:w="2297"/>
        <w:gridCol w:w="2099"/>
        <w:gridCol w:w="1985"/>
        <w:gridCol w:w="1984"/>
      </w:tblGrid>
      <w:tr>
        <w:tblPrEx/>
        <w:trPr>
          <w:tblHeader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83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29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9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8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83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804200О.99.0.ББ52АА48000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297" w:type="dxa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дополнительных общеразвивающих программ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9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адаптированные образовательные программы физкультурно-спортивной направленности по бадминтону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8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334,05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83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804200О.99.0.ББ52АА48000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297" w:type="dxa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дополнительных общеразвивающих программ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9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адаптированные образовательные программы физкультурно-спортивной направленности по спортивной аэробике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297,19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8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83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804200О.99.0.ББ52АА48000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297" w:type="dxa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дополнительных общеразвивающих программ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9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адаптированные образовательные программы физкультурно-спортивной направленности по плаванию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329,77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8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83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804200О.99.0.ББ52АА48000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297" w:type="dxa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дополнительных общеразвивающих программ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9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адаптированные образовательные программы физкультурно-спортивной направленности по легкой атлетике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8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332,20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8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928"/>
        <w:ind w:left="5670"/>
        <w:spacing w:line="240" w:lineRule="exact"/>
        <w:outlineLvl w:val="0"/>
      </w:pPr>
      <w:r/>
      <w:r/>
    </w:p>
    <w:p>
      <w:pPr>
        <w:pStyle w:val="928"/>
        <w:ind w:left="5670"/>
        <w:spacing w:line="240" w:lineRule="exact"/>
        <w:outlineLvl w:val="0"/>
      </w:pPr>
      <w:r/>
      <w:r/>
    </w:p>
    <w:p>
      <w:pPr>
        <w:pStyle w:val="928"/>
        <w:ind w:left="5670"/>
        <w:spacing w:line="240" w:lineRule="exact"/>
        <w:outlineLvl w:val="0"/>
      </w:pPr>
      <w:r/>
      <w:r/>
    </w:p>
    <w:p>
      <w:pPr>
        <w:pStyle w:val="928"/>
        <w:ind w:left="5670"/>
        <w:spacing w:line="240" w:lineRule="exact"/>
        <w:outlineLvl w:val="0"/>
      </w:pPr>
      <w:r/>
      <w:r/>
    </w:p>
    <w:p>
      <w:pPr>
        <w:pStyle w:val="928"/>
        <w:ind w:left="5670"/>
        <w:spacing w:line="240" w:lineRule="exact"/>
        <w:sectPr>
          <w:footnotePr/>
          <w:endnotePr/>
          <w:type w:val="nextPage"/>
          <w:pgSz w:w="11906" w:h="16838" w:orient="portrait"/>
          <w:pgMar w:top="1134" w:right="567" w:bottom="1134" w:left="1134" w:header="709" w:footer="709" w:gutter="0"/>
          <w:pgNumType w:start="1"/>
          <w:cols w:num="1" w:sep="0" w:space="708" w:equalWidth="1"/>
          <w:docGrid w:linePitch="360"/>
          <w:titlePg/>
        </w:sectPr>
        <w:outlineLvl w:val="0"/>
      </w:pPr>
      <w:r/>
      <w:r/>
    </w:p>
    <w:p>
      <w:pPr>
        <w:pStyle w:val="928"/>
        <w:ind w:left="5670"/>
        <w:spacing w:line="240" w:lineRule="exact"/>
        <w:outlineLvl w:val="0"/>
      </w:pPr>
      <w:r>
        <w:t xml:space="preserve">УТВЕРЖДЕНЫ</w:t>
      </w:r>
      <w:r/>
    </w:p>
    <w:p>
      <w:pPr>
        <w:pStyle w:val="928"/>
        <w:ind w:left="5670"/>
        <w:spacing w:line="240" w:lineRule="exact"/>
      </w:pPr>
      <w:r>
        <w:t xml:space="preserve">постановлением администрации </w:t>
      </w:r>
      <w:r>
        <w:br/>
        <w:t xml:space="preserve">города Перми </w:t>
      </w:r>
      <w:r>
        <w:br/>
        <w:t xml:space="preserve">от </w:t>
      </w:r>
      <w:r>
        <w:rPr>
          <w:sz w:val="28"/>
          <w:szCs w:val="28"/>
        </w:rPr>
        <w:t xml:space="preserve">24.09.2026 № 582</w:t>
      </w:r>
      <w:r/>
      <w:r/>
      <w:r/>
    </w:p>
    <w:p>
      <w:pPr>
        <w:pStyle w:val="928"/>
        <w:ind w:left="5670"/>
        <w:jc w:val="both"/>
        <w:spacing w:line="240" w:lineRule="exact"/>
      </w:pPr>
      <w:r/>
      <w:r/>
    </w:p>
    <w:p>
      <w:pPr>
        <w:pStyle w:val="928"/>
        <w:ind w:left="5670"/>
        <w:jc w:val="both"/>
        <w:spacing w:line="240" w:lineRule="exact"/>
      </w:pPr>
      <w:r/>
      <w:r/>
    </w:p>
    <w:p>
      <w:pPr>
        <w:pStyle w:val="928"/>
        <w:ind w:left="5670"/>
        <w:jc w:val="both"/>
        <w:spacing w:line="240" w:lineRule="exact"/>
      </w:pPr>
      <w:r/>
      <w:r/>
    </w:p>
    <w:p>
      <w:pPr>
        <w:pStyle w:val="928"/>
        <w:jc w:val="center"/>
        <w:spacing w:line="240" w:lineRule="exact"/>
        <w:rPr>
          <w:b/>
          <w:highlight w:val="white"/>
        </w:rPr>
      </w:pPr>
      <w:r>
        <w:rPr>
          <w:b/>
        </w:rPr>
        <w:t xml:space="preserve">ЗНАЧЕНИ</w:t>
      </w:r>
      <w:r>
        <w:rPr>
          <w:b/>
          <w:highlight w:val="white"/>
        </w:rPr>
        <w:t xml:space="preserve">Я</w:t>
      </w:r>
      <w:r>
        <w:rPr>
          <w:b/>
          <w:highlight w:val="white"/>
        </w:rPr>
      </w:r>
      <w:r>
        <w:rPr>
          <w:b/>
          <w:highlight w:val="white"/>
        </w:rPr>
      </w:r>
    </w:p>
    <w:p>
      <w:pPr>
        <w:pStyle w:val="928"/>
        <w:jc w:val="center"/>
        <w:spacing w:line="240" w:lineRule="exact"/>
        <w:rPr>
          <w:b/>
        </w:rPr>
      </w:pPr>
      <w:r>
        <w:rPr>
          <w:b/>
        </w:rPr>
        <w:t xml:space="preserve">отраслевых</w:t>
      </w:r>
      <w:r>
        <w:rPr>
          <w:b/>
          <w:color w:val="ff0000"/>
        </w:rPr>
        <w:t xml:space="preserve"> </w:t>
      </w:r>
      <w:r>
        <w:rPr>
          <w:b/>
        </w:rPr>
        <w:t xml:space="preserve">корректирующих коэффициентов</w:t>
      </w:r>
      <w:r>
        <w:rPr>
          <w:b/>
        </w:rPr>
      </w:r>
      <w:r>
        <w:rPr>
          <w:b/>
        </w:rPr>
      </w:r>
    </w:p>
    <w:p>
      <w:pPr>
        <w:pStyle w:val="928"/>
        <w:ind w:left="5670"/>
        <w:jc w:val="both"/>
        <w:spacing w:line="240" w:lineRule="exact"/>
      </w:pPr>
      <w:r/>
      <w:r/>
    </w:p>
    <w:tbl>
      <w:tblPr>
        <w:tblW w:w="10048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4"/>
        <w:gridCol w:w="2297"/>
        <w:gridCol w:w="2232"/>
        <w:gridCol w:w="1701"/>
        <w:gridCol w:w="1984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83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Номер реестровой записи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29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муниципальной услуги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232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дополнительной образовательной программы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68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отраслевого корректирующего коэффициента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single" w:color="000000" w:sz="6" w:space="0"/>
              <w:right w:val="single" w:color="000000" w:sz="6" w:space="0"/>
            </w:tcBorders>
            <w:tcW w:w="183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2297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2232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68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Значение отраслевого корректирующего коэффициента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3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97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32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наличие простого оборудования, спортивного инвентаря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учетом направления адаптированной образовательной программы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8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наличие сложного дорогостоящего оборудования, спортивного инвентаря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учетом направления адаптированной образовательной программы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"/>
        </w:rPr>
      </w:pPr>
      <w:r>
        <w:rPr>
          <w:sz w:val="2"/>
        </w:rPr>
      </w:r>
      <w:r>
        <w:rPr>
          <w:sz w:val="2"/>
        </w:rPr>
      </w:r>
      <w:r>
        <w:rPr>
          <w:sz w:val="2"/>
        </w:rPr>
      </w:r>
    </w:p>
    <w:tbl>
      <w:tblPr>
        <w:tblW w:w="10048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4"/>
        <w:gridCol w:w="2297"/>
        <w:gridCol w:w="2232"/>
        <w:gridCol w:w="1701"/>
        <w:gridCol w:w="1984"/>
      </w:tblGrid>
      <w:tr>
        <w:tblPrEx/>
        <w:trPr>
          <w:tblHeader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83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29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23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8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83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804200О.99.0.ББ52АА48000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297" w:type="dxa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дополнительных общеразвивающих программ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23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адаптированные образовательные программы физкультурно-спортивной направленности по бадминтону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8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1,00101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83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804200О.99.0.ББ52АА48000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297" w:type="dxa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дополнительных общеразвивающих программ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23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адаптированные образовательные программы физкультурно-спортивной направленности по спортивной аэробике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0,89057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8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83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804200О.99.0.ББ52АА48000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297" w:type="dxa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дополнительных общеразвивающих программ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23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адаптированные образовательные программы физкультурно-спортивной направленности по плаванию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0,98820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8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83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804200О.99.0.ББ52АА48000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297" w:type="dxa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дополнительных общеразвивающих программ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23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адаптированные образовательные программы физкультурно-спортивной направленности по легкой атлетике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0,99549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8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928"/>
        <w:ind w:left="5670"/>
        <w:jc w:val="both"/>
        <w:spacing w:line="240" w:lineRule="exact"/>
      </w:pPr>
      <w:r/>
      <w:r/>
    </w:p>
    <w:p>
      <w:pPr>
        <w:pStyle w:val="928"/>
        <w:ind w:left="5670"/>
        <w:jc w:val="both"/>
        <w:spacing w:line="240" w:lineRule="exact"/>
      </w:pPr>
      <w:r/>
      <w:r/>
    </w:p>
    <w:p>
      <w:pPr>
        <w:pStyle w:val="928"/>
        <w:ind w:left="5670"/>
        <w:jc w:val="both"/>
        <w:spacing w:line="240" w:lineRule="exact"/>
      </w:pPr>
      <w:r/>
      <w:r/>
    </w:p>
    <w:p>
      <w:pPr>
        <w:pStyle w:val="928"/>
        <w:ind w:left="5670"/>
        <w:jc w:val="both"/>
        <w:spacing w:line="240" w:lineRule="exact"/>
        <w:sectPr>
          <w:footnotePr/>
          <w:endnotePr/>
          <w:type w:val="nextPage"/>
          <w:pgSz w:w="11906" w:h="16838" w:orient="portrait"/>
          <w:pgMar w:top="1134" w:right="567" w:bottom="1134" w:left="1134" w:header="709" w:footer="709" w:gutter="0"/>
          <w:pgNumType w:start="1"/>
          <w:cols w:num="1" w:sep="0" w:space="708" w:equalWidth="1"/>
          <w:docGrid w:linePitch="360"/>
          <w:titlePg/>
        </w:sectPr>
      </w:pPr>
      <w:r/>
      <w:r/>
    </w:p>
    <w:p>
      <w:pPr>
        <w:pStyle w:val="928"/>
        <w:ind w:left="5670"/>
        <w:spacing w:line="240" w:lineRule="exact"/>
        <w:outlineLvl w:val="0"/>
      </w:pPr>
      <w:r>
        <w:t xml:space="preserve">УТВЕРЖДЕНЫ</w:t>
      </w:r>
      <w:r/>
    </w:p>
    <w:p>
      <w:pPr>
        <w:pStyle w:val="928"/>
        <w:ind w:left="5670"/>
        <w:spacing w:line="240" w:lineRule="exact"/>
      </w:pPr>
      <w:r>
        <w:t xml:space="preserve">постановлением администрации </w:t>
      </w:r>
      <w:r>
        <w:br/>
        <w:t xml:space="preserve">города Перми </w:t>
      </w:r>
      <w:r>
        <w:br/>
        <w:t xml:space="preserve">от </w:t>
      </w:r>
      <w:r>
        <w:rPr>
          <w:sz w:val="28"/>
          <w:szCs w:val="28"/>
        </w:rPr>
        <w:t xml:space="preserve">24.09.2026 № 582</w:t>
      </w:r>
      <w:r/>
      <w:r/>
      <w:r/>
    </w:p>
    <w:p>
      <w:pPr>
        <w:pStyle w:val="928"/>
        <w:ind w:left="5670"/>
        <w:jc w:val="both"/>
        <w:spacing w:line="240" w:lineRule="exact"/>
      </w:pPr>
      <w:r/>
      <w:r/>
    </w:p>
    <w:p>
      <w:pPr>
        <w:pStyle w:val="928"/>
        <w:ind w:left="5670"/>
        <w:jc w:val="both"/>
        <w:spacing w:line="240" w:lineRule="exact"/>
      </w:pPr>
      <w:r/>
      <w:r/>
    </w:p>
    <w:p>
      <w:pPr>
        <w:pStyle w:val="928"/>
        <w:ind w:left="5670"/>
        <w:jc w:val="both"/>
        <w:spacing w:line="240" w:lineRule="exact"/>
      </w:pPr>
      <w:r/>
      <w:r/>
    </w:p>
    <w:p>
      <w:pPr>
        <w:pStyle w:val="988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ЗНАЧЕНИЯ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натуральных норм, необходимых для определения базовых нормативов </w:t>
        <w:br/>
        <w:t xml:space="preserve">затрат на оказание муниципальной услуги «Реализация дополнительных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0" w:right="0" w:firstLine="0"/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общеразвивающих программ»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28"/>
        <w:jc w:val="both"/>
        <w:spacing w:line="240" w:lineRule="exact"/>
      </w:pPr>
      <w:r/>
      <w:r/>
    </w:p>
    <w:p>
      <w:pPr>
        <w:pStyle w:val="928"/>
        <w:ind w:firstLine="720"/>
        <w:jc w:val="both"/>
      </w:pPr>
      <w:r>
        <w:t xml:space="preserve">Наименование муниципальной услуги – «Реализация дополнительных общеразвивающих программ».</w:t>
      </w:r>
      <w:r/>
    </w:p>
    <w:p>
      <w:pPr>
        <w:pStyle w:val="928"/>
        <w:ind w:firstLine="720"/>
        <w:jc w:val="both"/>
      </w:pPr>
      <w:r>
        <w:t xml:space="preserve">Номер реестровой записи – 804200О.99.0.ББ52АА48000.</w:t>
      </w:r>
      <w:r/>
    </w:p>
    <w:p>
      <w:pPr>
        <w:pStyle w:val="928"/>
        <w:ind w:firstLine="720"/>
        <w:jc w:val="both"/>
      </w:pPr>
      <w:r>
        <w:t xml:space="preserve">Условия содержания: </w:t>
      </w:r>
      <w:r/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направленность образовательных программ – физкультурно-спортивная;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виды образовательных программ – адаптированные образовательные программы.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Единица измерения показателя объема оказания муниципальной услуги – человеко-часы.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8"/>
        <w:ind w:firstLine="720"/>
        <w:jc w:val="both"/>
      </w:pPr>
      <w:r/>
      <w:r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968"/>
        <w:gridCol w:w="2268"/>
        <w:gridCol w:w="1591"/>
        <w:gridCol w:w="2094"/>
      </w:tblGrid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Наименование натуральной </w:t>
            </w:r>
            <w:r>
              <w:br/>
              <w:t xml:space="preserve">нормы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Единица </w:t>
            </w:r>
            <w:r>
              <w:br/>
              <w:t xml:space="preserve">измерения </w:t>
            </w:r>
            <w:r>
              <w:br/>
              <w:t xml:space="preserve">натуральной нормы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1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Значение </w:t>
            </w:r>
            <w:r>
              <w:br/>
              <w:t xml:space="preserve">натуральной </w:t>
            </w:r>
            <w:r>
              <w:br/>
              <w:t xml:space="preserve">нормы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4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Способ определения значения натуральной нормы</w:t>
            </w:r>
            <w:r/>
          </w:p>
        </w:tc>
      </w:tr>
    </w:tbl>
    <w:p>
      <w:pPr>
        <w:rPr>
          <w:sz w:val="2"/>
        </w:rPr>
      </w:pPr>
      <w:r>
        <w:rPr>
          <w:sz w:val="2"/>
        </w:rPr>
      </w:r>
      <w:r>
        <w:rPr>
          <w:sz w:val="2"/>
        </w:rPr>
      </w:r>
      <w:r>
        <w:rPr>
          <w:sz w:val="2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20" w:firstRow="1" w:lastRow="0" w:firstColumn="0" w:lastColumn="0" w:noHBand="0" w:noVBand="0"/>
      </w:tblPr>
      <w:tblGrid>
        <w:gridCol w:w="3968"/>
        <w:gridCol w:w="2268"/>
        <w:gridCol w:w="1580"/>
        <w:gridCol w:w="2105"/>
      </w:tblGrid>
      <w:tr>
        <w:tblPrEx/>
        <w:trPr>
          <w:cantSplit/>
          <w:tblHeader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2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3</w:t>
            </w:r>
            <w:r/>
          </w:p>
        </w:tc>
        <w:tc>
          <w:tcPr>
            <w:tcW w:w="2105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4</w:t>
            </w:r>
            <w:r/>
          </w:p>
        </w:tc>
      </w:tr>
      <w:tr>
        <w:tblPrEx/>
        <w:trPr>
          <w:cantSplit/>
        </w:trPr>
        <w:tc>
          <w:tcPr>
            <w:gridSpan w:val="4"/>
            <w:tcW w:w="9921" w:type="dxa"/>
            <w:textDirection w:val="lrTb"/>
            <w:noWrap w:val="false"/>
          </w:tcPr>
          <w:p>
            <w:pPr>
              <w:pStyle w:val="928"/>
              <w:outlineLvl w:val="2"/>
            </w:pPr>
            <w:r>
              <w:t xml:space="preserve">1. Натуральные нормы, непосредственно связанные с оказанием муниципальной услуги</w:t>
            </w:r>
            <w:r/>
          </w:p>
        </w:tc>
      </w:tr>
      <w:tr>
        <w:tblPrEx/>
        <w:trPr>
          <w:cantSplit/>
        </w:trPr>
        <w:tc>
          <w:tcPr>
            <w:gridSpan w:val="4"/>
            <w:tcW w:w="9921" w:type="dxa"/>
            <w:textDirection w:val="lrTb"/>
            <w:noWrap w:val="false"/>
          </w:tcPr>
          <w:p>
            <w:pPr>
              <w:pStyle w:val="928"/>
            </w:pPr>
            <w:r>
              <w:t xml:space="preserve">1.1. Натуральные нормы, используемые при определении затрат на оплату труда работников, непосредственно связанных с оказанием муниципальной услуги, </w:t>
            </w:r>
            <w:r/>
          </w:p>
          <w:p>
            <w:pPr>
              <w:pStyle w:val="928"/>
            </w:pPr>
            <w:r>
              <w:t xml:space="preserve">и н</w:t>
            </w:r>
            <w:r>
              <w:t xml:space="preserve">ачисления на выплаты по оплате труда работников, непосредственно связанных с оказанием муниципальной услуги, включая страховые взносы в Фонд пенсионного и социального страхования Российской Федерации, Федеральный фонд обязательного медицинского страхования</w:t>
            </w:r>
            <w:r/>
          </w:p>
        </w:tc>
      </w:tr>
      <w:tr>
        <w:tblPrEx/>
        <w:trPr>
          <w:cantSplit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</w:pPr>
            <w:r>
              <w:t xml:space="preserve">тренер-преподаватель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штатная </w:t>
            </w:r>
            <w:r/>
          </w:p>
          <w:p>
            <w:pPr>
              <w:pStyle w:val="928"/>
              <w:jc w:val="center"/>
            </w:pPr>
            <w:r>
              <w:t xml:space="preserve">единица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0,0001499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105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метод наиболее эффективного учреждения</w:t>
            </w:r>
            <w:r/>
          </w:p>
        </w:tc>
      </w:tr>
      <w:tr>
        <w:tblPrEx/>
        <w:trPr>
          <w:cantSplit/>
        </w:trPr>
        <w:tc>
          <w:tcPr>
            <w:gridSpan w:val="4"/>
            <w:tcW w:w="9921" w:type="dxa"/>
            <w:textDirection w:val="lrTb"/>
            <w:noWrap w:val="false"/>
          </w:tcPr>
          <w:p>
            <w:pPr>
              <w:pStyle w:val="928"/>
              <w:outlineLvl w:val="2"/>
            </w:pPr>
            <w:r>
              <w:t xml:space="preserve">1.2. Натура</w:t>
            </w:r>
            <w:r>
              <w:t xml:space="preserve">льные нормы, используемые при определении затрат на приобретение материальных запасов и движимого имущества (основных средств и нематериальных активов), используемого в процессе выполнения услуги, с учетом срока его полезного использования </w:t>
            </w:r>
            <w:r/>
          </w:p>
        </w:tc>
      </w:tr>
      <w:tr>
        <w:tblPrEx/>
        <w:trPr>
          <w:cantSplit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</w:pPr>
            <w:r>
              <w:t xml:space="preserve">гири спортивные (16, 24 и 32 кг)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комплект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0,0002939</w:t>
            </w:r>
            <w:r/>
          </w:p>
        </w:tc>
        <w:tc>
          <w:tcPr>
            <w:tcW w:w="2105" w:type="dxa"/>
            <w:vMerge w:val="restar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метод наиболее эффективного учреждения</w:t>
            </w:r>
            <w:r/>
          </w:p>
        </w:tc>
      </w:tr>
      <w:tr>
        <w:tblPrEx/>
        <w:trPr>
          <w:cantSplit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</w:pPr>
            <w:r>
              <w:t xml:space="preserve">дорожка беговая электрическая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шт.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0,0000882</w:t>
            </w:r>
            <w:r/>
          </w:p>
        </w:tc>
        <w:tc>
          <w:tcPr>
            <w:tcW w:w="2105" w:type="dxa"/>
            <w:vMerge w:val="continue"/>
            <w:textDirection w:val="lrTb"/>
            <w:noWrap w:val="false"/>
          </w:tcPr>
          <w:p>
            <w:pPr>
              <w:pStyle w:val="928"/>
              <w:jc w:val="center"/>
            </w:pPr>
            <w:r/>
            <w:r/>
          </w:p>
        </w:tc>
      </w:tr>
      <w:tr>
        <w:tblPrEx/>
        <w:trPr>
          <w:cantSplit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</w:pPr>
            <w:r>
              <w:t xml:space="preserve">канат для лазания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шт.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0,0013228</w:t>
            </w:r>
            <w:r/>
          </w:p>
        </w:tc>
        <w:tc>
          <w:tcPr>
            <w:tcW w:w="2105" w:type="dxa"/>
            <w:vMerge w:val="continue"/>
            <w:textDirection w:val="lrTb"/>
            <w:noWrap w:val="false"/>
          </w:tcPr>
          <w:p>
            <w:pPr>
              <w:pStyle w:val="928"/>
              <w:jc w:val="center"/>
            </w:pPr>
            <w:r/>
            <w:r/>
          </w:p>
        </w:tc>
      </w:tr>
      <w:tr>
        <w:tblPrEx/>
        <w:trPr>
          <w:cantSplit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</w:pPr>
            <w:r>
              <w:t xml:space="preserve">лента эспандер (резиновая)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шт.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0,0026455</w:t>
            </w:r>
            <w:r/>
          </w:p>
        </w:tc>
        <w:tc>
          <w:tcPr>
            <w:tcW w:w="2105" w:type="dxa"/>
            <w:vMerge w:val="continue"/>
            <w:textDirection w:val="lrTb"/>
            <w:noWrap w:val="false"/>
          </w:tcPr>
          <w:p>
            <w:pPr>
              <w:pStyle w:val="928"/>
              <w:jc w:val="center"/>
            </w:pPr>
            <w:r/>
            <w:r/>
          </w:p>
        </w:tc>
      </w:tr>
      <w:tr>
        <w:tblPrEx/>
        <w:trPr>
          <w:cantSplit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</w:pPr>
            <w:r>
              <w:t xml:space="preserve">мяч футбольный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шт.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0,0008818</w:t>
            </w:r>
            <w:r/>
          </w:p>
        </w:tc>
        <w:tc>
          <w:tcPr>
            <w:tcW w:w="2105" w:type="dxa"/>
            <w:vMerge w:val="continue"/>
            <w:textDirection w:val="lrTb"/>
            <w:noWrap w:val="false"/>
          </w:tcPr>
          <w:p>
            <w:pPr>
              <w:pStyle w:val="928"/>
              <w:jc w:val="center"/>
            </w:pPr>
            <w:r/>
            <w:r/>
          </w:p>
        </w:tc>
      </w:tr>
      <w:tr>
        <w:tblPrEx/>
        <w:trPr>
          <w:cantSplit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</w:pPr>
            <w:r>
              <w:t xml:space="preserve">насос универсальный (для накачивания мячей)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шт.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0,0004409</w:t>
            </w:r>
            <w:r/>
          </w:p>
        </w:tc>
        <w:tc>
          <w:tcPr>
            <w:tcW w:w="2105" w:type="dxa"/>
            <w:vMerge w:val="continue"/>
            <w:textDirection w:val="lrTb"/>
            <w:noWrap w:val="false"/>
          </w:tcPr>
          <w:p>
            <w:pPr>
              <w:pStyle w:val="928"/>
              <w:jc w:val="center"/>
            </w:pPr>
            <w:r/>
            <w:r/>
          </w:p>
        </w:tc>
      </w:tr>
      <w:tr>
        <w:tblPrEx/>
        <w:trPr>
          <w:cantSplit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</w:pPr>
            <w:r>
              <w:t xml:space="preserve">перекладина гимнастическая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шт.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0,0001470</w:t>
            </w:r>
            <w:r/>
          </w:p>
        </w:tc>
        <w:tc>
          <w:tcPr>
            <w:tcW w:w="2105" w:type="dxa"/>
            <w:vMerge w:val="continue"/>
            <w:textDirection w:val="lrTb"/>
            <w:noWrap w:val="false"/>
          </w:tcPr>
          <w:p>
            <w:pPr>
              <w:pStyle w:val="928"/>
              <w:jc w:val="center"/>
            </w:pPr>
            <w:r/>
            <w:r/>
          </w:p>
        </w:tc>
      </w:tr>
      <w:tr>
        <w:tblPrEx/>
        <w:trPr>
          <w:cantSplit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</w:pPr>
            <w:r>
              <w:t xml:space="preserve">скамья атлетическая (регулируемая)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шт.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0,0004409</w:t>
            </w:r>
            <w:r/>
          </w:p>
        </w:tc>
        <w:tc>
          <w:tcPr>
            <w:tcW w:w="2105" w:type="dxa"/>
            <w:vMerge w:val="continue"/>
            <w:textDirection w:val="lrTb"/>
            <w:noWrap w:val="false"/>
          </w:tcPr>
          <w:p>
            <w:pPr>
              <w:pStyle w:val="928"/>
              <w:jc w:val="center"/>
            </w:pPr>
            <w:r/>
            <w:r/>
          </w:p>
        </w:tc>
      </w:tr>
      <w:tr>
        <w:tblPrEx/>
        <w:trPr>
          <w:cantSplit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</w:pPr>
            <w:r>
              <w:t xml:space="preserve">стенка гимнастическая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шт.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0,0008818</w:t>
            </w:r>
            <w:r/>
          </w:p>
        </w:tc>
        <w:tc>
          <w:tcPr>
            <w:tcW w:w="2105" w:type="dxa"/>
            <w:vMerge w:val="continue"/>
            <w:textDirection w:val="lrTb"/>
            <w:noWrap w:val="false"/>
          </w:tcPr>
          <w:p>
            <w:pPr>
              <w:pStyle w:val="928"/>
              <w:jc w:val="center"/>
            </w:pPr>
            <w:r/>
            <w:r/>
          </w:p>
        </w:tc>
      </w:tr>
      <w:tr>
        <w:tblPrEx/>
        <w:trPr>
          <w:cantSplit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</w:pPr>
            <w:r>
              <w:t xml:space="preserve">тренажер кистевой фрикционный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шт.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0,0017637</w:t>
            </w:r>
            <w:r/>
          </w:p>
        </w:tc>
        <w:tc>
          <w:tcPr>
            <w:tcW w:w="2105" w:type="dxa"/>
            <w:vMerge w:val="continue"/>
            <w:textDirection w:val="lrTb"/>
            <w:noWrap w:val="false"/>
          </w:tcPr>
          <w:p>
            <w:pPr>
              <w:pStyle w:val="928"/>
              <w:jc w:val="center"/>
            </w:pPr>
            <w:r/>
            <w:r/>
          </w:p>
        </w:tc>
      </w:tr>
      <w:tr>
        <w:tblPrEx/>
        <w:trPr>
          <w:cantSplit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</w:pPr>
            <w:r>
              <w:t xml:space="preserve">турник навесной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шт.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0,0017637</w:t>
            </w:r>
            <w:r/>
          </w:p>
        </w:tc>
        <w:tc>
          <w:tcPr>
            <w:tcW w:w="2105" w:type="dxa"/>
            <w:vMerge w:val="continue"/>
            <w:textDirection w:val="lrTb"/>
            <w:noWrap w:val="false"/>
          </w:tcPr>
          <w:p>
            <w:pPr>
              <w:pStyle w:val="928"/>
              <w:jc w:val="center"/>
            </w:pPr>
            <w:r/>
            <w:r/>
          </w:p>
        </w:tc>
      </w:tr>
      <w:tr>
        <w:tblPrEx/>
        <w:trPr>
          <w:cantSplit/>
        </w:trPr>
        <w:tc>
          <w:tcPr>
            <w:gridSpan w:val="4"/>
            <w:tcW w:w="9921" w:type="dxa"/>
            <w:textDirection w:val="lrTb"/>
            <w:noWrap w:val="false"/>
          </w:tcPr>
          <w:p>
            <w:pPr>
              <w:pStyle w:val="928"/>
              <w:jc w:val="both"/>
            </w:pPr>
            <w:r>
              <w:t xml:space="preserve">1.3. Натуральные нормы, используемые при определении затрат на коммунальные услуги, непосредственно связанные с оказанием муниципальной услуги</w:t>
            </w:r>
            <w:r/>
          </w:p>
        </w:tc>
      </w:tr>
      <w:tr>
        <w:tblPrEx/>
        <w:trPr>
          <w:cantSplit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</w:pPr>
            <w:r>
              <w:t xml:space="preserve">электроэнергия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кВт</w:t>
            </w:r>
            <w:r>
              <w:rPr>
                <w:lang w:val="en-US"/>
              </w:rPr>
              <w:t xml:space="preserve"> / </w:t>
            </w:r>
            <w:r>
              <w:t xml:space="preserve">ч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0,0263171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05" w:type="dxa"/>
            <w:vMerge w:val="restar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метод наиболее эффективного учреждения</w:t>
            </w:r>
            <w:r/>
          </w:p>
        </w:tc>
      </w:tr>
      <w:tr>
        <w:tblPrEx/>
        <w:trPr>
          <w:cantSplit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</w:pPr>
            <w:r>
              <w:t xml:space="preserve">водоснабжение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куб. м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0,0009472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05" w:type="dxa"/>
            <w:vMerge w:val="continue"/>
            <w:textDirection w:val="lrTb"/>
            <w:noWrap w:val="false"/>
          </w:tcPr>
          <w:p>
            <w:pPr>
              <w:pStyle w:val="928"/>
            </w:pPr>
            <w:r/>
            <w:r/>
          </w:p>
        </w:tc>
      </w:tr>
      <w:tr>
        <w:tblPrEx/>
        <w:trPr>
          <w:cantSplit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</w:pPr>
            <w:r>
              <w:t xml:space="preserve">водоотведение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куб. м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0,0012077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05" w:type="dxa"/>
            <w:vMerge w:val="continue"/>
            <w:textDirection w:val="lrTb"/>
            <w:noWrap w:val="false"/>
          </w:tcPr>
          <w:p>
            <w:pPr>
              <w:pStyle w:val="928"/>
            </w:pPr>
            <w:r/>
            <w:r/>
          </w:p>
        </w:tc>
      </w:tr>
      <w:tr>
        <w:tblPrEx/>
        <w:trPr>
          <w:cantSplit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</w:pPr>
            <w:r>
              <w:t xml:space="preserve">негативное воздействие </w:t>
            </w:r>
            <w:r/>
          </w:p>
          <w:p>
            <w:pPr>
              <w:pStyle w:val="928"/>
            </w:pPr>
            <w:r>
              <w:t xml:space="preserve">на окружающую среду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куб. м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0,0012077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05" w:type="dxa"/>
            <w:vMerge w:val="continue"/>
            <w:textDirection w:val="lrTb"/>
            <w:noWrap w:val="false"/>
          </w:tcPr>
          <w:p>
            <w:pPr>
              <w:pStyle w:val="928"/>
            </w:pPr>
            <w:r/>
            <w:r/>
          </w:p>
        </w:tc>
      </w:tr>
      <w:tr>
        <w:tblPrEx/>
        <w:trPr>
          <w:cantSplit/>
        </w:trPr>
        <w:tc>
          <w:tcPr>
            <w:gridSpan w:val="4"/>
            <w:tcW w:w="9921" w:type="dxa"/>
            <w:textDirection w:val="lrTb"/>
            <w:noWrap w:val="false"/>
          </w:tcPr>
          <w:p>
            <w:pPr>
              <w:pStyle w:val="928"/>
            </w:pPr>
            <w:r>
              <w:t xml:space="preserve">2. Натуральные нормы, используемые при определении базового норматива затрат на общехозяйственные нужды на оказание муниципальной услуги</w:t>
            </w:r>
            <w:r/>
          </w:p>
        </w:tc>
      </w:tr>
      <w:tr>
        <w:tblPrEx/>
        <w:trPr>
          <w:cantSplit/>
        </w:trPr>
        <w:tc>
          <w:tcPr>
            <w:gridSpan w:val="4"/>
            <w:tcW w:w="9921" w:type="dxa"/>
            <w:textDirection w:val="lrTb"/>
            <w:noWrap w:val="false"/>
          </w:tcPr>
          <w:p>
            <w:r>
              <w:rPr>
                <w:sz w:val="28"/>
                <w:szCs w:val="28"/>
              </w:rPr>
              <w:t xml:space="preserve">2.1.</w:t>
            </w:r>
            <w:r>
              <w:t xml:space="preserve"> </w:t>
            </w:r>
            <w:r>
              <w:rPr>
                <w:sz w:val="28"/>
                <w:szCs w:val="28"/>
              </w:rPr>
              <w:t xml:space="preserve">Натуральные нормы, используемые при определении затрат на коммунальные услуги, за исключением затрат, непосредственно связанных с оказанием муниципальной услуги</w:t>
            </w:r>
            <w:r/>
          </w:p>
        </w:tc>
      </w:tr>
      <w:tr>
        <w:tblPrEx/>
        <w:trPr>
          <w:cantSplit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</w:pPr>
            <w:r>
              <w:t xml:space="preserve">электроэнергия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кВт</w:t>
            </w:r>
            <w:r>
              <w:rPr>
                <w:lang w:val="en-US"/>
              </w:rPr>
              <w:t xml:space="preserve"> / </w:t>
            </w:r>
            <w:r>
              <w:t xml:space="preserve">ч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0,0534316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05" w:type="dxa"/>
            <w:vMerge w:val="restar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метод наиболее эффективного учреждения</w:t>
            </w:r>
            <w:r/>
          </w:p>
        </w:tc>
      </w:tr>
      <w:tr>
        <w:tblPrEx/>
        <w:trPr>
          <w:cantSplit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  <w:tabs>
                <w:tab w:val="left" w:pos="2415" w:leader="none"/>
              </w:tabs>
            </w:pPr>
            <w:r>
              <w:t xml:space="preserve">водоснабжение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куб. м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0,0019232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05" w:type="dxa"/>
            <w:vMerge w:val="continue"/>
            <w:textDirection w:val="lrTb"/>
            <w:noWrap w:val="false"/>
          </w:tcPr>
          <w:p>
            <w:pPr>
              <w:pStyle w:val="928"/>
              <w:jc w:val="center"/>
            </w:pPr>
            <w:r/>
            <w:r/>
          </w:p>
        </w:tc>
      </w:tr>
      <w:tr>
        <w:tblPrEx/>
        <w:trPr>
          <w:cantSplit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</w:pPr>
            <w:r>
              <w:t xml:space="preserve">водоотведение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куб. м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0,0024519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05" w:type="dxa"/>
            <w:vMerge w:val="continue"/>
            <w:textDirection w:val="lrTb"/>
            <w:noWrap w:val="false"/>
          </w:tcPr>
          <w:p>
            <w:pPr>
              <w:pStyle w:val="928"/>
              <w:jc w:val="center"/>
            </w:pPr>
            <w:r/>
            <w:r/>
          </w:p>
        </w:tc>
      </w:tr>
      <w:tr>
        <w:tblPrEx/>
        <w:trPr>
          <w:cantSplit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</w:pPr>
            <w:r>
              <w:t xml:space="preserve">негативное воздействие </w:t>
            </w:r>
            <w:r/>
          </w:p>
          <w:p>
            <w:pPr>
              <w:pStyle w:val="928"/>
            </w:pPr>
            <w:r>
              <w:t xml:space="preserve">на окружающую среду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куб. м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0,0024519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05" w:type="dxa"/>
            <w:vMerge w:val="continue"/>
            <w:textDirection w:val="lrTb"/>
            <w:noWrap w:val="false"/>
          </w:tcPr>
          <w:p>
            <w:pPr>
              <w:pStyle w:val="928"/>
              <w:jc w:val="center"/>
            </w:pPr>
            <w:r/>
            <w:r/>
          </w:p>
        </w:tc>
      </w:tr>
      <w:tr>
        <w:tblPrEx/>
        <w:trPr>
          <w:cantSplit/>
        </w:trPr>
        <w:tc>
          <w:tcPr>
            <w:gridSpan w:val="4"/>
            <w:tcW w:w="9921" w:type="dxa"/>
            <w:textDirection w:val="lrTb"/>
            <w:noWrap w:val="false"/>
          </w:tcPr>
          <w:p>
            <w:pPr>
              <w:pStyle w:val="928"/>
            </w:pPr>
            <w:r>
              <w:t xml:space="preserve">2.2. Натуральные нормы, используемые при определении затрат на прочие общехозяйственные нужды</w:t>
            </w:r>
            <w:r/>
          </w:p>
        </w:tc>
      </w:tr>
      <w:tr>
        <w:tblPrEx/>
        <w:trPr>
          <w:cantSplit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</w:pPr>
            <w:r>
              <w:t xml:space="preserve">бумага офисная 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пачка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0,0004409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05" w:type="dxa"/>
            <w:vMerge w:val="restart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метод наиболее эффективного учреждения</w:t>
            </w:r>
            <w:r/>
          </w:p>
        </w:tc>
      </w:tr>
      <w:tr>
        <w:tblPrEx/>
        <w:trPr>
          <w:cantSplit/>
        </w:trPr>
        <w:tc>
          <w:tcPr>
            <w:tcW w:w="3968" w:type="dxa"/>
            <w:textDirection w:val="lrTb"/>
            <w:noWrap w:val="false"/>
          </w:tcPr>
          <w:p>
            <w:pPr>
              <w:pStyle w:val="928"/>
            </w:pPr>
            <w:r>
              <w:t xml:space="preserve">губки бытовые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28"/>
              <w:jc w:val="center"/>
            </w:pPr>
            <w:r>
              <w:t xml:space="preserve">упаковка</w:t>
            </w:r>
            <w:r/>
          </w:p>
        </w:tc>
        <w:tc>
          <w:tcPr>
            <w:tcW w:w="1580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0,0004409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105" w:type="dxa"/>
            <w:vMerge w:val="continue"/>
            <w:textDirection w:val="lrTb"/>
            <w:noWrap w:val="false"/>
          </w:tcPr>
          <w:p>
            <w:pPr>
              <w:pStyle w:val="928"/>
              <w:jc w:val="center"/>
            </w:pPr>
            <w:r/>
            <w:r/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8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3"/>
      <w:jc w:val="center"/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/>
  </w:p>
  <w:p>
    <w:pPr>
      <w:pStyle w:val="90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3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0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3"/>
      <w:rPr>
        <w:rStyle w:val="902"/>
      </w:rPr>
      <w:framePr w:wrap="around" w:vAnchor="text" w:hAnchor="margin" w:xAlign="center" w:y="1"/>
    </w:pPr>
    <w:r>
      <w:rPr>
        <w:rStyle w:val="902"/>
      </w:rPr>
      <w:fldChar w:fldCharType="begin"/>
    </w:r>
    <w:r>
      <w:rPr>
        <w:rStyle w:val="902"/>
      </w:rPr>
      <w:instrText xml:space="preserve">PAGE  </w:instrText>
    </w:r>
    <w:r>
      <w:rPr>
        <w:rStyle w:val="902"/>
      </w:rPr>
      <w:fldChar w:fldCharType="end"/>
    </w:r>
    <w:r>
      <w:rPr>
        <w:rStyle w:val="902"/>
      </w:rPr>
    </w:r>
    <w:r>
      <w:rPr>
        <w:rStyle w:val="902"/>
      </w:rPr>
    </w:r>
  </w:p>
  <w:p>
    <w:pPr>
      <w:pStyle w:val="903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3">
    <w:name w:val="Heading 1 Char"/>
    <w:basedOn w:val="895"/>
    <w:link w:val="893"/>
    <w:uiPriority w:val="9"/>
    <w:rPr>
      <w:rFonts w:ascii="Arial" w:hAnsi="Arial" w:eastAsia="Arial" w:cs="Arial"/>
      <w:sz w:val="40"/>
      <w:szCs w:val="40"/>
    </w:rPr>
  </w:style>
  <w:style w:type="character" w:styleId="724">
    <w:name w:val="Heading 2 Char"/>
    <w:basedOn w:val="895"/>
    <w:link w:val="894"/>
    <w:uiPriority w:val="9"/>
    <w:rPr>
      <w:rFonts w:ascii="Arial" w:hAnsi="Arial" w:eastAsia="Arial" w:cs="Arial"/>
      <w:sz w:val="34"/>
    </w:rPr>
  </w:style>
  <w:style w:type="paragraph" w:styleId="725">
    <w:name w:val="Heading 3"/>
    <w:basedOn w:val="892"/>
    <w:next w:val="892"/>
    <w:link w:val="72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6">
    <w:name w:val="Heading 3 Char"/>
    <w:basedOn w:val="895"/>
    <w:link w:val="725"/>
    <w:uiPriority w:val="9"/>
    <w:rPr>
      <w:rFonts w:ascii="Arial" w:hAnsi="Arial" w:eastAsia="Arial" w:cs="Arial"/>
      <w:sz w:val="30"/>
      <w:szCs w:val="30"/>
    </w:rPr>
  </w:style>
  <w:style w:type="paragraph" w:styleId="727">
    <w:name w:val="Heading 4"/>
    <w:basedOn w:val="892"/>
    <w:next w:val="892"/>
    <w:link w:val="72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8">
    <w:name w:val="Heading 4 Char"/>
    <w:basedOn w:val="895"/>
    <w:link w:val="727"/>
    <w:uiPriority w:val="9"/>
    <w:rPr>
      <w:rFonts w:ascii="Arial" w:hAnsi="Arial" w:eastAsia="Arial" w:cs="Arial"/>
      <w:b/>
      <w:bCs/>
      <w:sz w:val="26"/>
      <w:szCs w:val="26"/>
    </w:rPr>
  </w:style>
  <w:style w:type="paragraph" w:styleId="729">
    <w:name w:val="Heading 5"/>
    <w:basedOn w:val="892"/>
    <w:next w:val="892"/>
    <w:link w:val="73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0">
    <w:name w:val="Heading 5 Char"/>
    <w:basedOn w:val="895"/>
    <w:link w:val="729"/>
    <w:uiPriority w:val="9"/>
    <w:rPr>
      <w:rFonts w:ascii="Arial" w:hAnsi="Arial" w:eastAsia="Arial" w:cs="Arial"/>
      <w:b/>
      <w:bCs/>
      <w:sz w:val="24"/>
      <w:szCs w:val="24"/>
    </w:rPr>
  </w:style>
  <w:style w:type="paragraph" w:styleId="731">
    <w:name w:val="Heading 6"/>
    <w:basedOn w:val="892"/>
    <w:next w:val="892"/>
    <w:link w:val="73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2">
    <w:name w:val="Heading 6 Char"/>
    <w:basedOn w:val="895"/>
    <w:link w:val="731"/>
    <w:uiPriority w:val="9"/>
    <w:rPr>
      <w:rFonts w:ascii="Arial" w:hAnsi="Arial" w:eastAsia="Arial" w:cs="Arial"/>
      <w:b/>
      <w:bCs/>
      <w:sz w:val="22"/>
      <w:szCs w:val="22"/>
    </w:rPr>
  </w:style>
  <w:style w:type="paragraph" w:styleId="733">
    <w:name w:val="Heading 7"/>
    <w:basedOn w:val="892"/>
    <w:next w:val="892"/>
    <w:link w:val="73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4">
    <w:name w:val="Heading 7 Char"/>
    <w:basedOn w:val="895"/>
    <w:link w:val="73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5">
    <w:name w:val="Heading 8"/>
    <w:basedOn w:val="892"/>
    <w:next w:val="892"/>
    <w:link w:val="73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6">
    <w:name w:val="Heading 8 Char"/>
    <w:basedOn w:val="895"/>
    <w:link w:val="735"/>
    <w:uiPriority w:val="9"/>
    <w:rPr>
      <w:rFonts w:ascii="Arial" w:hAnsi="Arial" w:eastAsia="Arial" w:cs="Arial"/>
      <w:i/>
      <w:iCs/>
      <w:sz w:val="22"/>
      <w:szCs w:val="22"/>
    </w:rPr>
  </w:style>
  <w:style w:type="paragraph" w:styleId="737">
    <w:name w:val="Heading 9"/>
    <w:basedOn w:val="892"/>
    <w:next w:val="892"/>
    <w:link w:val="73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8">
    <w:name w:val="Heading 9 Char"/>
    <w:basedOn w:val="895"/>
    <w:link w:val="737"/>
    <w:uiPriority w:val="9"/>
    <w:rPr>
      <w:rFonts w:ascii="Arial" w:hAnsi="Arial" w:eastAsia="Arial" w:cs="Arial"/>
      <w:i/>
      <w:iCs/>
      <w:sz w:val="21"/>
      <w:szCs w:val="21"/>
    </w:rPr>
  </w:style>
  <w:style w:type="paragraph" w:styleId="739">
    <w:name w:val="Title"/>
    <w:basedOn w:val="892"/>
    <w:next w:val="892"/>
    <w:link w:val="74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0">
    <w:name w:val="Title Char"/>
    <w:basedOn w:val="895"/>
    <w:link w:val="739"/>
    <w:uiPriority w:val="10"/>
    <w:rPr>
      <w:sz w:val="48"/>
      <w:szCs w:val="48"/>
    </w:rPr>
  </w:style>
  <w:style w:type="paragraph" w:styleId="741">
    <w:name w:val="Subtitle"/>
    <w:basedOn w:val="892"/>
    <w:next w:val="892"/>
    <w:link w:val="742"/>
    <w:uiPriority w:val="11"/>
    <w:qFormat/>
    <w:pPr>
      <w:spacing w:before="200" w:after="200"/>
    </w:pPr>
    <w:rPr>
      <w:sz w:val="24"/>
      <w:szCs w:val="24"/>
    </w:rPr>
  </w:style>
  <w:style w:type="character" w:styleId="742">
    <w:name w:val="Subtitle Char"/>
    <w:basedOn w:val="895"/>
    <w:link w:val="741"/>
    <w:uiPriority w:val="11"/>
    <w:rPr>
      <w:sz w:val="24"/>
      <w:szCs w:val="24"/>
    </w:rPr>
  </w:style>
  <w:style w:type="paragraph" w:styleId="743">
    <w:name w:val="Quote"/>
    <w:basedOn w:val="892"/>
    <w:next w:val="892"/>
    <w:link w:val="744"/>
    <w:uiPriority w:val="29"/>
    <w:qFormat/>
    <w:pPr>
      <w:ind w:left="720" w:right="720"/>
    </w:pPr>
    <w:rPr>
      <w:i/>
    </w:rPr>
  </w:style>
  <w:style w:type="character" w:styleId="744">
    <w:name w:val="Quote Char"/>
    <w:link w:val="743"/>
    <w:uiPriority w:val="29"/>
    <w:rPr>
      <w:i/>
    </w:rPr>
  </w:style>
  <w:style w:type="paragraph" w:styleId="745">
    <w:name w:val="Intense Quote"/>
    <w:basedOn w:val="892"/>
    <w:next w:val="892"/>
    <w:link w:val="74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6">
    <w:name w:val="Intense Quote Char"/>
    <w:link w:val="745"/>
    <w:uiPriority w:val="30"/>
    <w:rPr>
      <w:i/>
    </w:rPr>
  </w:style>
  <w:style w:type="character" w:styleId="747">
    <w:name w:val="Header Char"/>
    <w:basedOn w:val="895"/>
    <w:link w:val="903"/>
    <w:uiPriority w:val="99"/>
  </w:style>
  <w:style w:type="character" w:styleId="748">
    <w:name w:val="Footer Char"/>
    <w:basedOn w:val="895"/>
    <w:link w:val="901"/>
    <w:uiPriority w:val="99"/>
  </w:style>
  <w:style w:type="character" w:styleId="749">
    <w:name w:val="Caption Char"/>
    <w:basedOn w:val="895"/>
    <w:link w:val="898"/>
    <w:uiPriority w:val="35"/>
    <w:rPr>
      <w:b/>
      <w:bCs/>
      <w:color w:val="4f81bd" w:themeColor="accent1"/>
      <w:sz w:val="18"/>
      <w:szCs w:val="18"/>
    </w:rPr>
  </w:style>
  <w:style w:type="table" w:styleId="750">
    <w:name w:val="Table Grid Light"/>
    <w:basedOn w:val="8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1">
    <w:name w:val="Plain Table 1"/>
    <w:basedOn w:val="8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2">
    <w:name w:val="Plain Table 2"/>
    <w:basedOn w:val="89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>
    <w:name w:val="Plain Table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4">
    <w:name w:val="Plain Table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Plain Table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6">
    <w:name w:val="Grid Table 1 Light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4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8">
    <w:name w:val="Grid Table 4 - Accent 1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9">
    <w:name w:val="Grid Table 4 - Accent 2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Grid Table 4 - Accent 3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1">
    <w:name w:val="Grid Table 4 - Accent 4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Grid Table 4 - Accent 5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3">
    <w:name w:val="Grid Table 4 - Accent 6"/>
    <w:basedOn w:val="8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4">
    <w:name w:val="Grid Table 5 Dark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5">
    <w:name w:val="Grid Table 5 Dark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88">
    <w:name w:val="Grid Table 5 Dark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91">
    <w:name w:val="Grid Table 6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2">
    <w:name w:val="Grid Table 6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3">
    <w:name w:val="Grid Table 6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4">
    <w:name w:val="Grid Table 6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5">
    <w:name w:val="Grid Table 6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6">
    <w:name w:val="Grid Table 6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7">
    <w:name w:val="Grid Table 6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8">
    <w:name w:val="Grid Table 7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3">
    <w:name w:val="List Table 2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4">
    <w:name w:val="List Table 2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5">
    <w:name w:val="List Table 2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6">
    <w:name w:val="List Table 2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7">
    <w:name w:val="List Table 2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8">
    <w:name w:val="List Table 2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9">
    <w:name w:val="List Table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5 Dark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6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1">
    <w:name w:val="List Table 6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2">
    <w:name w:val="List Table 6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3">
    <w:name w:val="List Table 6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4">
    <w:name w:val="List Table 6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5">
    <w:name w:val="List Table 6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6">
    <w:name w:val="List Table 6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7">
    <w:name w:val="List Table 7 Colorful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8">
    <w:name w:val="List Table 7 Colorful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49">
    <w:name w:val="List Table 7 Colorful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50">
    <w:name w:val="List Table 7 Colorful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51">
    <w:name w:val="List Table 7 Colorful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52">
    <w:name w:val="List Table 7 Colorful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53">
    <w:name w:val="List Table 7 Colorful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54">
    <w:name w:val="Lined - Accent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5">
    <w:name w:val="Lined - Accent 1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6">
    <w:name w:val="Lined - Accent 2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7">
    <w:name w:val="Lined - Accent 3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8">
    <w:name w:val="Lined - Accent 4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9">
    <w:name w:val="Lined - Accent 5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0">
    <w:name w:val="Lined - Accent 6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1">
    <w:name w:val="Bordered &amp; Lined - Accent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2">
    <w:name w:val="Bordered &amp; Lined - Accent 1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3">
    <w:name w:val="Bordered &amp; Lined - Accent 2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4">
    <w:name w:val="Bordered &amp; Lined - Accent 3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5">
    <w:name w:val="Bordered &amp; Lined - Accent 4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6">
    <w:name w:val="Bordered &amp; Lined - Accent 5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7">
    <w:name w:val="Bordered &amp; Lined - Accent 6"/>
    <w:basedOn w:val="8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8">
    <w:name w:val="Bordered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9">
    <w:name w:val="Bordered - Accent 1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0">
    <w:name w:val="Bordered - Accent 2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1">
    <w:name w:val="Bordered - Accent 3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2">
    <w:name w:val="Bordered - Accent 4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3">
    <w:name w:val="Bordered - Accent 5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4">
    <w:name w:val="Bordered - Accent 6"/>
    <w:basedOn w:val="8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5">
    <w:name w:val="footnote text"/>
    <w:basedOn w:val="892"/>
    <w:link w:val="876"/>
    <w:uiPriority w:val="99"/>
    <w:semiHidden/>
    <w:unhideWhenUsed/>
    <w:pPr>
      <w:spacing w:after="40" w:line="240" w:lineRule="auto"/>
    </w:pPr>
    <w:rPr>
      <w:sz w:val="18"/>
    </w:rPr>
  </w:style>
  <w:style w:type="character" w:styleId="876">
    <w:name w:val="Footnote Text Char"/>
    <w:link w:val="875"/>
    <w:uiPriority w:val="99"/>
    <w:rPr>
      <w:sz w:val="18"/>
    </w:rPr>
  </w:style>
  <w:style w:type="character" w:styleId="877">
    <w:name w:val="footnote reference"/>
    <w:basedOn w:val="895"/>
    <w:uiPriority w:val="99"/>
    <w:unhideWhenUsed/>
    <w:rPr>
      <w:vertAlign w:val="superscript"/>
    </w:rPr>
  </w:style>
  <w:style w:type="paragraph" w:styleId="878">
    <w:name w:val="endnote text"/>
    <w:basedOn w:val="892"/>
    <w:link w:val="879"/>
    <w:uiPriority w:val="99"/>
    <w:semiHidden/>
    <w:unhideWhenUsed/>
    <w:pPr>
      <w:spacing w:after="0" w:line="240" w:lineRule="auto"/>
    </w:pPr>
    <w:rPr>
      <w:sz w:val="20"/>
    </w:rPr>
  </w:style>
  <w:style w:type="character" w:styleId="879">
    <w:name w:val="Endnote Text Char"/>
    <w:link w:val="878"/>
    <w:uiPriority w:val="99"/>
    <w:rPr>
      <w:sz w:val="20"/>
    </w:rPr>
  </w:style>
  <w:style w:type="character" w:styleId="880">
    <w:name w:val="endnote reference"/>
    <w:basedOn w:val="895"/>
    <w:uiPriority w:val="99"/>
    <w:semiHidden/>
    <w:unhideWhenUsed/>
    <w:rPr>
      <w:vertAlign w:val="superscript"/>
    </w:rPr>
  </w:style>
  <w:style w:type="paragraph" w:styleId="881">
    <w:name w:val="toc 1"/>
    <w:basedOn w:val="892"/>
    <w:next w:val="892"/>
    <w:uiPriority w:val="39"/>
    <w:unhideWhenUsed/>
    <w:pPr>
      <w:ind w:left="0" w:right="0" w:firstLine="0"/>
      <w:spacing w:after="57"/>
    </w:pPr>
  </w:style>
  <w:style w:type="paragraph" w:styleId="882">
    <w:name w:val="toc 2"/>
    <w:basedOn w:val="892"/>
    <w:next w:val="892"/>
    <w:uiPriority w:val="39"/>
    <w:unhideWhenUsed/>
    <w:pPr>
      <w:ind w:left="283" w:right="0" w:firstLine="0"/>
      <w:spacing w:after="57"/>
    </w:pPr>
  </w:style>
  <w:style w:type="paragraph" w:styleId="883">
    <w:name w:val="toc 3"/>
    <w:basedOn w:val="892"/>
    <w:next w:val="892"/>
    <w:uiPriority w:val="39"/>
    <w:unhideWhenUsed/>
    <w:pPr>
      <w:ind w:left="567" w:right="0" w:firstLine="0"/>
      <w:spacing w:after="57"/>
    </w:pPr>
  </w:style>
  <w:style w:type="paragraph" w:styleId="884">
    <w:name w:val="toc 4"/>
    <w:basedOn w:val="892"/>
    <w:next w:val="892"/>
    <w:uiPriority w:val="39"/>
    <w:unhideWhenUsed/>
    <w:pPr>
      <w:ind w:left="850" w:right="0" w:firstLine="0"/>
      <w:spacing w:after="57"/>
    </w:pPr>
  </w:style>
  <w:style w:type="paragraph" w:styleId="885">
    <w:name w:val="toc 5"/>
    <w:basedOn w:val="892"/>
    <w:next w:val="892"/>
    <w:uiPriority w:val="39"/>
    <w:unhideWhenUsed/>
    <w:pPr>
      <w:ind w:left="1134" w:right="0" w:firstLine="0"/>
      <w:spacing w:after="57"/>
    </w:pPr>
  </w:style>
  <w:style w:type="paragraph" w:styleId="886">
    <w:name w:val="toc 6"/>
    <w:basedOn w:val="892"/>
    <w:next w:val="892"/>
    <w:uiPriority w:val="39"/>
    <w:unhideWhenUsed/>
    <w:pPr>
      <w:ind w:left="1417" w:right="0" w:firstLine="0"/>
      <w:spacing w:after="57"/>
    </w:pPr>
  </w:style>
  <w:style w:type="paragraph" w:styleId="887">
    <w:name w:val="toc 7"/>
    <w:basedOn w:val="892"/>
    <w:next w:val="892"/>
    <w:uiPriority w:val="39"/>
    <w:unhideWhenUsed/>
    <w:pPr>
      <w:ind w:left="1701" w:right="0" w:firstLine="0"/>
      <w:spacing w:after="57"/>
    </w:pPr>
  </w:style>
  <w:style w:type="paragraph" w:styleId="888">
    <w:name w:val="toc 8"/>
    <w:basedOn w:val="892"/>
    <w:next w:val="892"/>
    <w:uiPriority w:val="39"/>
    <w:unhideWhenUsed/>
    <w:pPr>
      <w:ind w:left="1984" w:right="0" w:firstLine="0"/>
      <w:spacing w:after="57"/>
    </w:pPr>
  </w:style>
  <w:style w:type="paragraph" w:styleId="889">
    <w:name w:val="toc 9"/>
    <w:basedOn w:val="892"/>
    <w:next w:val="892"/>
    <w:uiPriority w:val="39"/>
    <w:unhideWhenUsed/>
    <w:pPr>
      <w:ind w:left="2268" w:right="0" w:firstLine="0"/>
      <w:spacing w:after="57"/>
    </w:pPr>
  </w:style>
  <w:style w:type="paragraph" w:styleId="890">
    <w:name w:val="TOC Heading"/>
    <w:uiPriority w:val="39"/>
    <w:unhideWhenUsed/>
  </w:style>
  <w:style w:type="paragraph" w:styleId="891">
    <w:name w:val="table of figures"/>
    <w:basedOn w:val="892"/>
    <w:next w:val="892"/>
    <w:uiPriority w:val="99"/>
    <w:unhideWhenUsed/>
    <w:pPr>
      <w:spacing w:after="0" w:afterAutospacing="0"/>
    </w:pPr>
  </w:style>
  <w:style w:type="paragraph" w:styleId="892" w:default="1">
    <w:name w:val="Normal"/>
    <w:qFormat/>
  </w:style>
  <w:style w:type="paragraph" w:styleId="893">
    <w:name w:val="Heading 1"/>
    <w:basedOn w:val="892"/>
    <w:next w:val="892"/>
    <w:qFormat/>
    <w:pPr>
      <w:ind w:right="-1" w:firstLine="709"/>
      <w:jc w:val="both"/>
      <w:keepNext/>
      <w:outlineLvl w:val="0"/>
    </w:pPr>
    <w:rPr>
      <w:sz w:val="24"/>
    </w:rPr>
  </w:style>
  <w:style w:type="paragraph" w:styleId="894">
    <w:name w:val="Heading 2"/>
    <w:basedOn w:val="892"/>
    <w:next w:val="892"/>
    <w:qFormat/>
    <w:pPr>
      <w:ind w:right="-1"/>
      <w:jc w:val="both"/>
      <w:keepNext/>
      <w:outlineLvl w:val="1"/>
    </w:pPr>
    <w:rPr>
      <w:sz w:val="24"/>
    </w:rPr>
  </w:style>
  <w:style w:type="character" w:styleId="895" w:default="1">
    <w:name w:val="Default Paragraph Font"/>
    <w:semiHidden/>
  </w:style>
  <w:style w:type="table" w:styleId="896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7" w:default="1">
    <w:name w:val="No List"/>
    <w:semiHidden/>
  </w:style>
  <w:style w:type="paragraph" w:styleId="898">
    <w:name w:val="Caption"/>
    <w:basedOn w:val="892"/>
    <w:next w:val="892"/>
    <w:link w:val="749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9">
    <w:name w:val="Body Text"/>
    <w:basedOn w:val="892"/>
    <w:link w:val="927"/>
    <w:pPr>
      <w:ind w:right="3117"/>
    </w:pPr>
    <w:rPr>
      <w:rFonts w:ascii="Courier New" w:hAnsi="Courier New"/>
      <w:sz w:val="26"/>
    </w:rPr>
  </w:style>
  <w:style w:type="paragraph" w:styleId="900">
    <w:name w:val="Body Text Indent"/>
    <w:basedOn w:val="892"/>
    <w:pPr>
      <w:ind w:right="-1"/>
      <w:jc w:val="both"/>
    </w:pPr>
    <w:rPr>
      <w:sz w:val="26"/>
    </w:rPr>
  </w:style>
  <w:style w:type="paragraph" w:styleId="901">
    <w:name w:val="Footer"/>
    <w:basedOn w:val="892"/>
    <w:link w:val="986"/>
    <w:uiPriority w:val="99"/>
    <w:pPr>
      <w:tabs>
        <w:tab w:val="center" w:pos="4153" w:leader="none"/>
        <w:tab w:val="right" w:pos="8306" w:leader="none"/>
      </w:tabs>
    </w:pPr>
  </w:style>
  <w:style w:type="character" w:styleId="902">
    <w:name w:val="page number"/>
    <w:basedOn w:val="895"/>
  </w:style>
  <w:style w:type="paragraph" w:styleId="903">
    <w:name w:val="Header"/>
    <w:basedOn w:val="892"/>
    <w:link w:val="906"/>
    <w:uiPriority w:val="99"/>
    <w:pPr>
      <w:tabs>
        <w:tab w:val="center" w:pos="4153" w:leader="none"/>
        <w:tab w:val="right" w:pos="8306" w:leader="none"/>
      </w:tabs>
    </w:pPr>
  </w:style>
  <w:style w:type="paragraph" w:styleId="904">
    <w:name w:val="Balloon Text"/>
    <w:basedOn w:val="892"/>
    <w:link w:val="905"/>
    <w:uiPriority w:val="99"/>
    <w:rPr>
      <w:rFonts w:ascii="Segoe UI" w:hAnsi="Segoe UI" w:cs="Segoe UI"/>
      <w:sz w:val="18"/>
      <w:szCs w:val="18"/>
    </w:rPr>
  </w:style>
  <w:style w:type="character" w:styleId="905" w:customStyle="1">
    <w:name w:val="Текст выноски Знак"/>
    <w:link w:val="904"/>
    <w:uiPriority w:val="99"/>
    <w:rPr>
      <w:rFonts w:ascii="Segoe UI" w:hAnsi="Segoe UI" w:cs="Segoe UI"/>
      <w:sz w:val="18"/>
      <w:szCs w:val="18"/>
    </w:rPr>
  </w:style>
  <w:style w:type="character" w:styleId="906" w:customStyle="1">
    <w:name w:val="Верхний колонтитул Знак"/>
    <w:link w:val="903"/>
    <w:uiPriority w:val="99"/>
  </w:style>
  <w:style w:type="numbering" w:styleId="907" w:customStyle="1">
    <w:name w:val="Нет списка1"/>
    <w:next w:val="897"/>
    <w:uiPriority w:val="99"/>
    <w:semiHidden/>
    <w:unhideWhenUsed/>
  </w:style>
  <w:style w:type="paragraph" w:styleId="908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09">
    <w:name w:val="Hyperlink"/>
    <w:uiPriority w:val="99"/>
    <w:unhideWhenUsed/>
    <w:rPr>
      <w:color w:val="0000ff"/>
      <w:u w:val="single"/>
    </w:rPr>
  </w:style>
  <w:style w:type="character" w:styleId="910">
    <w:name w:val="FollowedHyperlink"/>
    <w:uiPriority w:val="99"/>
    <w:unhideWhenUsed/>
    <w:rPr>
      <w:color w:val="800080"/>
      <w:u w:val="single"/>
    </w:rPr>
  </w:style>
  <w:style w:type="paragraph" w:styleId="911" w:customStyle="1">
    <w:name w:val="xl65"/>
    <w:basedOn w:val="89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2" w:customStyle="1">
    <w:name w:val="xl66"/>
    <w:basedOn w:val="89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3" w:customStyle="1">
    <w:name w:val="xl67"/>
    <w:basedOn w:val="89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4" w:customStyle="1">
    <w:name w:val="xl68"/>
    <w:basedOn w:val="89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5" w:customStyle="1">
    <w:name w:val="xl69"/>
    <w:basedOn w:val="89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6" w:customStyle="1">
    <w:name w:val="xl70"/>
    <w:basedOn w:val="89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7" w:customStyle="1">
    <w:name w:val="xl71"/>
    <w:basedOn w:val="89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8" w:customStyle="1">
    <w:name w:val="xl72"/>
    <w:basedOn w:val="89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9" w:customStyle="1">
    <w:name w:val="xl73"/>
    <w:basedOn w:val="89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0" w:customStyle="1">
    <w:name w:val="xl74"/>
    <w:basedOn w:val="89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1" w:customStyle="1">
    <w:name w:val="xl75"/>
    <w:basedOn w:val="89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2" w:customStyle="1">
    <w:name w:val="xl76"/>
    <w:basedOn w:val="89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3" w:customStyle="1">
    <w:name w:val="xl77"/>
    <w:basedOn w:val="892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4" w:customStyle="1">
    <w:name w:val="xl78"/>
    <w:basedOn w:val="89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5" w:customStyle="1">
    <w:name w:val="xl79"/>
    <w:basedOn w:val="89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6" w:customStyle="1">
    <w:name w:val="Форма"/>
    <w:rPr>
      <w:sz w:val="28"/>
      <w:szCs w:val="28"/>
    </w:rPr>
  </w:style>
  <w:style w:type="character" w:styleId="927" w:customStyle="1">
    <w:name w:val="Основной текст Знак"/>
    <w:link w:val="899"/>
    <w:rPr>
      <w:rFonts w:ascii="Courier New" w:hAnsi="Courier New"/>
      <w:sz w:val="26"/>
    </w:rPr>
  </w:style>
  <w:style w:type="paragraph" w:styleId="928" w:customStyle="1">
    <w:name w:val="ConsPlusNormal"/>
    <w:rPr>
      <w:sz w:val="28"/>
      <w:szCs w:val="28"/>
    </w:rPr>
  </w:style>
  <w:style w:type="numbering" w:styleId="929" w:customStyle="1">
    <w:name w:val="Нет списка11"/>
    <w:next w:val="897"/>
    <w:uiPriority w:val="99"/>
    <w:semiHidden/>
    <w:unhideWhenUsed/>
  </w:style>
  <w:style w:type="numbering" w:styleId="930" w:customStyle="1">
    <w:name w:val="Нет списка111"/>
    <w:next w:val="897"/>
    <w:uiPriority w:val="99"/>
    <w:semiHidden/>
    <w:unhideWhenUsed/>
  </w:style>
  <w:style w:type="paragraph" w:styleId="931" w:customStyle="1">
    <w:name w:val="font5"/>
    <w:basedOn w:val="892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32" w:customStyle="1">
    <w:name w:val="xl80"/>
    <w:basedOn w:val="89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33" w:customStyle="1">
    <w:name w:val="xl81"/>
    <w:basedOn w:val="89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34" w:customStyle="1">
    <w:name w:val="xl82"/>
    <w:basedOn w:val="892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35">
    <w:name w:val="Table Grid"/>
    <w:basedOn w:val="896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36" w:customStyle="1">
    <w:name w:val="xl83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7" w:customStyle="1">
    <w:name w:val="xl84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8" w:customStyle="1">
    <w:name w:val="xl85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9" w:customStyle="1">
    <w:name w:val="xl86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0" w:customStyle="1">
    <w:name w:val="xl87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1" w:customStyle="1">
    <w:name w:val="xl88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2" w:customStyle="1">
    <w:name w:val="xl89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3" w:customStyle="1">
    <w:name w:val="xl90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4" w:customStyle="1">
    <w:name w:val="xl91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5" w:customStyle="1">
    <w:name w:val="xl92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6" w:customStyle="1">
    <w:name w:val="xl93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7" w:customStyle="1">
    <w:name w:val="xl94"/>
    <w:basedOn w:val="892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8" w:customStyle="1">
    <w:name w:val="xl95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9" w:customStyle="1">
    <w:name w:val="xl96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0" w:customStyle="1">
    <w:name w:val="xl97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1" w:customStyle="1">
    <w:name w:val="xl98"/>
    <w:basedOn w:val="89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52" w:customStyle="1">
    <w:name w:val="xl99"/>
    <w:basedOn w:val="892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3" w:customStyle="1">
    <w:name w:val="xl100"/>
    <w:basedOn w:val="89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01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02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 w:customStyle="1">
    <w:name w:val="xl103"/>
    <w:basedOn w:val="89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04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05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9" w:customStyle="1">
    <w:name w:val="xl106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60" w:customStyle="1">
    <w:name w:val="xl107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 w:customStyle="1">
    <w:name w:val="xl108"/>
    <w:basedOn w:val="89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 w:customStyle="1">
    <w:name w:val="xl109"/>
    <w:basedOn w:val="89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 w:customStyle="1">
    <w:name w:val="xl110"/>
    <w:basedOn w:val="89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4" w:customStyle="1">
    <w:name w:val="xl111"/>
    <w:basedOn w:val="89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 w:customStyle="1">
    <w:name w:val="xl112"/>
    <w:basedOn w:val="892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66" w:customStyle="1">
    <w:name w:val="xl113"/>
    <w:basedOn w:val="89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7" w:customStyle="1">
    <w:name w:val="xl114"/>
    <w:basedOn w:val="89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 w:customStyle="1">
    <w:name w:val="xl115"/>
    <w:basedOn w:val="892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69" w:customStyle="1">
    <w:name w:val="xl116"/>
    <w:basedOn w:val="89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0" w:customStyle="1">
    <w:name w:val="xl117"/>
    <w:basedOn w:val="892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 w:customStyle="1">
    <w:name w:val="xl118"/>
    <w:basedOn w:val="892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2" w:customStyle="1">
    <w:name w:val="xl119"/>
    <w:basedOn w:val="89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3" w:customStyle="1">
    <w:name w:val="xl120"/>
    <w:basedOn w:val="89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4" w:customStyle="1">
    <w:name w:val="xl121"/>
    <w:basedOn w:val="89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5" w:customStyle="1">
    <w:name w:val="xl122"/>
    <w:basedOn w:val="89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6" w:customStyle="1">
    <w:name w:val="xl123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7" w:customStyle="1">
    <w:name w:val="xl124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8" w:customStyle="1">
    <w:name w:val="xl125"/>
    <w:basedOn w:val="89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79" w:customStyle="1">
    <w:name w:val="Нет списка2"/>
    <w:next w:val="897"/>
    <w:uiPriority w:val="99"/>
    <w:semiHidden/>
    <w:unhideWhenUsed/>
  </w:style>
  <w:style w:type="numbering" w:styleId="980" w:customStyle="1">
    <w:name w:val="Нет списка3"/>
    <w:next w:val="897"/>
    <w:uiPriority w:val="99"/>
    <w:semiHidden/>
    <w:unhideWhenUsed/>
  </w:style>
  <w:style w:type="paragraph" w:styleId="981" w:customStyle="1">
    <w:name w:val="font6"/>
    <w:basedOn w:val="892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2" w:customStyle="1">
    <w:name w:val="font7"/>
    <w:basedOn w:val="892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3" w:customStyle="1">
    <w:name w:val="font8"/>
    <w:basedOn w:val="892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84" w:customStyle="1">
    <w:name w:val="Нет списка4"/>
    <w:next w:val="897"/>
    <w:uiPriority w:val="99"/>
    <w:semiHidden/>
    <w:unhideWhenUsed/>
  </w:style>
  <w:style w:type="paragraph" w:styleId="985">
    <w:name w:val="List Paragraph"/>
    <w:basedOn w:val="892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86" w:customStyle="1">
    <w:name w:val="Нижний колонтитул Знак"/>
    <w:link w:val="901"/>
    <w:uiPriority w:val="99"/>
  </w:style>
  <w:style w:type="paragraph" w:styleId="987" w:customStyle="1">
    <w:name w:val="Normal (Web)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88" w:customStyle="1">
    <w:name w:val="ConsPlusTitle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389428&amp;date=08.10.2021" TargetMode="External"/><Relationship Id="rId14" Type="http://schemas.openxmlformats.org/officeDocument/2006/relationships/hyperlink" Target="https://login.consultant.ru/link/?req=doc&amp;base=RLAW368&amp;n=152230&amp;dst=100022&amp;field=134&amp;date=08.10.2021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9</cp:revision>
  <dcterms:created xsi:type="dcterms:W3CDTF">2024-10-25T06:26:00Z</dcterms:created>
  <dcterms:modified xsi:type="dcterms:W3CDTF">2026-09-24T11:08:25Z</dcterms:modified>
</cp:coreProperties>
</file>