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9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10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506855"/>
                <wp:effectExtent l="0" t="0" r="0" b="0"/>
                <wp:wrapNone/>
                <wp:docPr id="2" name="_x0000_s1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50685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77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77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77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81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28.09.2026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733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593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18.6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777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77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77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81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28.09.2026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733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593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2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2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8"/>
      </w:pPr>
      <w:r/>
      <w:r/>
    </w:p>
    <w:p>
      <w:pPr>
        <w:pStyle w:val="938"/>
      </w:pPr>
      <w:r/>
      <w:r/>
    </w:p>
    <w:p>
      <w:pPr>
        <w:pStyle w:val="938"/>
      </w:pPr>
      <w:r/>
      <w:r/>
    </w:p>
    <w:p>
      <w:pPr>
        <w:pStyle w:val="938"/>
        <w:jc w:val="center"/>
        <w:spacing w:line="240" w:lineRule="exact"/>
        <w:rPr>
          <w:b/>
        </w:rPr>
      </w:pPr>
      <w:r/>
      <w:bookmarkStart w:id="0" w:name="_Hlk175230636"/>
      <w:r>
        <w:rPr>
          <w:b/>
        </w:rPr>
      </w:r>
      <w:r>
        <w:rPr>
          <w:b/>
        </w:rPr>
      </w:r>
    </w:p>
    <w:p>
      <w:pPr>
        <w:pStyle w:val="938"/>
        <w:jc w:val="center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8"/>
        <w:jc w:val="center"/>
        <w:spacing w:line="240" w:lineRule="exact"/>
        <w:rPr>
          <w:b/>
          <w:bCs/>
        </w:rPr>
      </w:pPr>
      <w:r>
        <w:rPr>
          <w:b/>
        </w:rPr>
        <w:t xml:space="preserve">О внесении изменений в </w:t>
      </w:r>
      <w:bookmarkStart w:id="1" w:name="_Hlk175230965"/>
      <w:r/>
      <w:bookmarkStart w:id="2" w:name="_Hlk175231006"/>
      <w:r>
        <w:rPr>
          <w:b/>
        </w:rPr>
        <w:t xml:space="preserve">постановление администрации города Перми </w:t>
      </w:r>
      <w:r>
        <w:rPr>
          <w:b/>
          <w:bCs/>
        </w:rPr>
      </w:r>
      <w:r>
        <w:rPr>
          <w:b/>
          <w:bCs/>
        </w:rPr>
      </w:r>
    </w:p>
    <w:p>
      <w:pPr>
        <w:pStyle w:val="938"/>
        <w:jc w:val="center"/>
        <w:spacing w:line="240" w:lineRule="exact"/>
        <w:rPr>
          <w:b/>
          <w:bCs/>
        </w:rPr>
      </w:pPr>
      <w:r>
        <w:rPr>
          <w:b/>
        </w:rPr>
        <w:t xml:space="preserve">от 21.06.2021 № 456 «Об утверждении Методики определения расчетных показателей по организации и проведению мероприятий, посвященных дням рождения районов города Перми, и расчетных показателей по организации </w:t>
      </w:r>
      <w:r>
        <w:rPr>
          <w:b/>
          <w:bCs/>
        </w:rPr>
      </w:r>
      <w:r>
        <w:rPr>
          <w:b/>
          <w:bCs/>
        </w:rPr>
      </w:r>
    </w:p>
    <w:p>
      <w:pPr>
        <w:pStyle w:val="938"/>
        <w:jc w:val="center"/>
        <w:spacing w:line="240" w:lineRule="exact"/>
        <w:rPr>
          <w:b/>
          <w:bCs/>
        </w:rPr>
      </w:pPr>
      <w:r>
        <w:rPr>
          <w:b/>
        </w:rPr>
        <w:t xml:space="preserve">и проведению мероприятий, посвященных дням рождения районов города Перми» </w:t>
      </w:r>
      <w:bookmarkEnd w:id="0"/>
      <w:r/>
      <w:bookmarkEnd w:id="1"/>
      <w:r/>
      <w:bookmarkEnd w:id="2"/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Бюджетным </w:t>
      </w:r>
      <w:r>
        <w:rPr>
          <w:rFonts w:ascii="Times New Roman" w:hAnsi="Times New Roman" w:cs="Times New Roman"/>
          <w:sz w:val="28"/>
          <w:szCs w:val="28"/>
        </w:rPr>
        <w:t xml:space="preserve">кодексом Российской Федерации, Уставом города Перми, решением Пермской городской Думы от 28 августа 2007 г. № 185 «Об утверждении Положения о бюджете и бюджетном процессе в городе Перми», постановлением администрации города Перми от 03 марта 2020 г. № 199 </w:t>
      </w:r>
      <w:r>
        <w:rPr>
          <w:rFonts w:ascii="Times New Roman" w:hAnsi="Times New Roman" w:cs="Times New Roman"/>
          <w:sz w:val="28"/>
          <w:szCs w:val="28"/>
        </w:rPr>
        <w:br/>
        <w:t xml:space="preserve">«Об установлении расходного обязательства Пермского городского округа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вопросам местного значения на создание условий для организации досуга </w:t>
      </w:r>
      <w:r>
        <w:rPr>
          <w:rFonts w:ascii="Times New Roman" w:hAnsi="Times New Roman" w:cs="Times New Roman"/>
          <w:sz w:val="28"/>
          <w:szCs w:val="28"/>
        </w:rPr>
        <w:br/>
        <w:t xml:space="preserve">и обеспечения населения Пермского городского округа услугами в сфере культуры»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города Перми ПОСТАНОВЛЯЕТ: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города Перми от 21 июня 2021 г. </w:t>
      </w:r>
      <w:r>
        <w:rPr>
          <w:rFonts w:ascii="Times New Roman" w:hAnsi="Times New Roman" w:cs="Times New Roman"/>
          <w:sz w:val="28"/>
          <w:szCs w:val="28"/>
        </w:rPr>
        <w:br/>
        <w:t xml:space="preserve">№ 456 «Об утверждении Методики определения расчетных показателей </w:t>
      </w:r>
      <w:r>
        <w:rPr>
          <w:rFonts w:ascii="Times New Roman" w:hAnsi="Times New Roman" w:cs="Times New Roman"/>
          <w:sz w:val="28"/>
          <w:szCs w:val="28"/>
        </w:rPr>
        <w:br/>
        <w:t xml:space="preserve">по организации и проведению мероприятий, посвященных дням рождения районов города Перми, и расчетных показателей по организации и проведению мероприятий, посвященных дням рождения районов города Перми» (в ред. </w:t>
      </w:r>
      <w:r>
        <w:rPr>
          <w:rFonts w:ascii="Times New Roman" w:hAnsi="Times New Roman" w:cs="Times New Roman"/>
          <w:sz w:val="28"/>
          <w:szCs w:val="28"/>
        </w:rPr>
        <w:br/>
        <w:t xml:space="preserve">от 07.10.2021 № 814, от 28.08.2024 № 696, от 20.10.2025 № 852, от 12.02.2026 № 73) следующие изменения: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Методики определения расчетных показателей </w:t>
      </w:r>
      <w:r>
        <w:rPr>
          <w:rFonts w:ascii="Times New Roman" w:hAnsi="Times New Roman" w:cs="Times New Roman"/>
          <w:sz w:val="28"/>
          <w:szCs w:val="28"/>
        </w:rPr>
        <w:br/>
        <w:t xml:space="preserve">по организации проведения мероприятий по празднованию дат основания (юбилеев) районов города Перми, и расчетных показателей по организации проведения мероприятий по празднованию дат основания (юбилеев) районов города Перми»;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преамбулу изложить в следующей редакции: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соответствии с Бюджетным кодексом Российской Федерации, федеральными законами от 06 октября 2003 г.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20 марта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2025 г. № 33-ФЗ «Об общих принципах организации местного самоуправления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единой системе публичной власти», </w:t>
      </w:r>
      <w:r>
        <w:rPr>
          <w:rFonts w:ascii="Times New Roman" w:hAnsi="Times New Roman" w:cs="Times New Roman"/>
          <w:sz w:val="28"/>
          <w:szCs w:val="28"/>
        </w:rPr>
        <w:t xml:space="preserve">Уставом города Перми, решением Пермской городской Думы от 28 августа 2007 г. № 185 «Об утверждении Положения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о бюджете и бюджетном процессе в городе Перми», постановлением администрации город</w:t>
      </w:r>
      <w:r>
        <w:rPr>
          <w:rFonts w:ascii="Times New Roman" w:hAnsi="Times New Roman" w:cs="Times New Roman"/>
          <w:sz w:val="28"/>
          <w:szCs w:val="28"/>
        </w:rPr>
        <w:t xml:space="preserve">а Перми от 03 марта 2020 г. № 199 «Об установлении расходного обязательства Пермского городского округа по вопросам местного значения на создание условий для организации досуга и обеспечения населения Пермского городского округа услугами в сфере культуры»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города Перми ПОСТАНОВЛЯЕТ:»;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1.3. в пункте 1.1 слова </w:t>
      </w:r>
      <w:bookmarkStart w:id="3" w:name="_Hlk239761368"/>
      <w:r>
        <w:rPr>
          <w:sz w:val="28"/>
          <w:szCs w:val="28"/>
        </w:rPr>
        <w:t xml:space="preserve">«и проведению мероприятий, посвященных дням рождения» заменить словами «проведения мероприятий по празднованию дат основания (юбилеев)»</w:t>
      </w:r>
      <w:bookmarkEnd w:id="3"/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1.4. в пункте 1.3 слова «и проведению мероприятий, посвященных дням рождения» заменить словами «проведения мероприятий по празднованию дат основания (юбилеев)».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40"/>
          <w:szCs w:val="4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 Внести в Методику определения расчетных показателей по организации </w:t>
      </w:r>
      <w:r>
        <w:rPr>
          <w:sz w:val="28"/>
          <w:szCs w:val="28"/>
        </w:rPr>
        <w:br/>
        <w:t xml:space="preserve">и проведению мероприятий, посвященных дням рождения районов города Перми, утвержденную постановлением администрации города Перми от 21 июня 2021 г. № 456 (в ред. от 07.10.2021 № 814, от 28.08.2024 № 696, от 20.10.2025 № 852, </w:t>
      </w:r>
      <w:r>
        <w:rPr>
          <w:sz w:val="28"/>
          <w:szCs w:val="28"/>
        </w:rPr>
        <w:br/>
        <w:t xml:space="preserve">от 12.02.2026 № 37), следующие изменения:</w:t>
      </w:r>
      <w:r>
        <w:rPr>
          <w:sz w:val="40"/>
          <w:szCs w:val="40"/>
        </w:rPr>
      </w:r>
      <w:r>
        <w:rPr>
          <w:sz w:val="40"/>
          <w:szCs w:val="40"/>
        </w:rPr>
      </w:r>
    </w:p>
    <w:p>
      <w:pPr>
        <w:pStyle w:val="938"/>
        <w:contextualSpacing/>
        <w:ind w:firstLine="720"/>
        <w:jc w:val="both"/>
      </w:pPr>
      <w:r>
        <w:t xml:space="preserve">2.1. наименование изложить в следующей редакции:</w:t>
      </w:r>
      <w:r/>
    </w:p>
    <w:p>
      <w:pPr>
        <w:pStyle w:val="938"/>
        <w:contextualSpacing/>
        <w:ind w:firstLine="720"/>
        <w:jc w:val="both"/>
      </w:pPr>
      <w:r>
        <w:t xml:space="preserve">«Методика определения расчетных показателей по организации проведения мероприятий по празднованию дат основания (юбилеев) районов города Перми»;</w:t>
      </w:r>
      <w:r/>
    </w:p>
    <w:p>
      <w:pPr>
        <w:pStyle w:val="938"/>
        <w:contextualSpacing/>
        <w:ind w:firstLine="720"/>
        <w:jc w:val="both"/>
        <w:tabs>
          <w:tab w:val="left" w:pos="5753" w:leader="none"/>
        </w:tabs>
      </w:pPr>
      <w:r>
        <w:t xml:space="preserve">2.2. в </w:t>
      </w:r>
      <w:r>
        <w:t xml:space="preserve">раздел</w:t>
      </w:r>
      <w:r>
        <w:t xml:space="preserve">е</w:t>
      </w:r>
      <w:r>
        <w:t xml:space="preserve"> 1</w:t>
      </w:r>
      <w:r>
        <w:t xml:space="preserve">:</w:t>
      </w:r>
      <w:r/>
    </w:p>
    <w:p>
      <w:pPr>
        <w:pStyle w:val="938"/>
        <w:contextualSpacing/>
        <w:ind w:firstLine="720"/>
        <w:jc w:val="both"/>
        <w:tabs>
          <w:tab w:val="left" w:pos="5753" w:leader="none"/>
        </w:tabs>
      </w:pPr>
      <w:r>
        <w:t xml:space="preserve">2.2.1. в </w:t>
      </w:r>
      <w:r>
        <w:t xml:space="preserve">абзац</w:t>
      </w:r>
      <w:r>
        <w:t xml:space="preserve">е</w:t>
      </w:r>
      <w:r>
        <w:t xml:space="preserve"> первом</w:t>
      </w:r>
      <w:r>
        <w:t xml:space="preserve"> </w:t>
      </w:r>
      <w:r>
        <w:t xml:space="preserve">слова «и проведению мероприятий, посвященных дням рождения» заменить словами «проведения мероприятий по празднованию дат основания (юбилеев)»;</w:t>
      </w:r>
      <w:r/>
    </w:p>
    <w:p>
      <w:pPr>
        <w:pStyle w:val="938"/>
        <w:contextualSpacing/>
        <w:ind w:firstLine="720"/>
        <w:jc w:val="both"/>
        <w:tabs>
          <w:tab w:val="left" w:pos="5753" w:leader="none"/>
        </w:tabs>
      </w:pPr>
      <w:r>
        <w:t xml:space="preserve">2.2.2. </w:t>
      </w:r>
      <w:r>
        <w:t xml:space="preserve">в абзаце </w:t>
      </w:r>
      <w:r>
        <w:t xml:space="preserve">вто</w:t>
      </w:r>
      <w:r>
        <w:t xml:space="preserve">ром</w:t>
      </w:r>
      <w:r>
        <w:t xml:space="preserve"> </w:t>
      </w:r>
      <w:r>
        <w:t xml:space="preserve">слова «и проведени</w:t>
      </w:r>
      <w:r>
        <w:t xml:space="preserve">е</w:t>
      </w:r>
      <w:r>
        <w:t xml:space="preserve"> мероприятий, посвященных дням рождения» заменить словами «проведени</w:t>
      </w:r>
      <w:r>
        <w:t xml:space="preserve">я</w:t>
      </w:r>
      <w:r>
        <w:t xml:space="preserve"> мероприятий по празднованию дат основания (юбилеев)»;</w:t>
      </w:r>
      <w:r/>
    </w:p>
    <w:p>
      <w:pPr>
        <w:pStyle w:val="938"/>
        <w:contextualSpacing/>
        <w:ind w:firstLine="720"/>
        <w:jc w:val="both"/>
        <w:tabs>
          <w:tab w:val="left" w:pos="5753" w:leader="none"/>
        </w:tabs>
      </w:pPr>
      <w:r>
        <w:t xml:space="preserve">2.2.</w:t>
      </w:r>
      <w:r>
        <w:t xml:space="preserve">3. </w:t>
      </w:r>
      <w:r>
        <w:t xml:space="preserve">в абзаце</w:t>
      </w:r>
      <w:r>
        <w:t xml:space="preserve"> </w:t>
      </w:r>
      <w:r>
        <w:t xml:space="preserve">третьем </w:t>
      </w:r>
      <w:r>
        <w:t xml:space="preserve">слова «и проведение мероприятий, посвященных дням рождения» заменить словами «проведени</w:t>
      </w:r>
      <w:r>
        <w:t xml:space="preserve">я</w:t>
      </w:r>
      <w:r>
        <w:t xml:space="preserve"> мероприятий по празднованию дат основания (юбилеев)»;</w:t>
      </w:r>
      <w:r/>
    </w:p>
    <w:p>
      <w:pPr>
        <w:pStyle w:val="938"/>
        <w:contextualSpacing/>
        <w:ind w:firstLine="720"/>
        <w:jc w:val="both"/>
      </w:pPr>
      <w:r>
        <w:t xml:space="preserve">2.3. в абзаце первом раздела 2 слова «и проведени</w:t>
      </w:r>
      <w:r>
        <w:t xml:space="preserve">я</w:t>
      </w:r>
      <w:r>
        <w:t xml:space="preserve"> мероприятий, посвященных дням рождения» заменить словами «проведения мероприятий по празднованию дат основания (юбилеев)»;</w:t>
      </w:r>
      <w:r/>
    </w:p>
    <w:p>
      <w:pPr>
        <w:pStyle w:val="938"/>
        <w:contextualSpacing/>
        <w:ind w:firstLine="720"/>
        <w:jc w:val="both"/>
        <w:rPr>
          <w:highlight w:val="none"/>
        </w:rPr>
      </w:pPr>
      <w:r>
        <w:t xml:space="preserve">2.4. в разделе 3:</w:t>
      </w:r>
      <w:r>
        <w:rPr>
          <w:highlight w:val="none"/>
        </w:rPr>
      </w:r>
      <w:r>
        <w:rPr>
          <w:highlight w:val="none"/>
        </w:rPr>
      </w:r>
    </w:p>
    <w:p>
      <w:pPr>
        <w:pStyle w:val="938"/>
        <w:contextualSpacing/>
        <w:ind w:firstLine="720"/>
        <w:jc w:val="both"/>
        <w:rPr>
          <w:highlight w:val="none"/>
        </w:rPr>
      </w:pPr>
      <w:r>
        <w:rPr>
          <w:highlight w:val="none"/>
        </w:rPr>
        <w:t xml:space="preserve">2.4.1. </w:t>
      </w:r>
      <w:r>
        <w:t xml:space="preserve">в абзаце втором слова «и проведению мероприятий, посвященных дням рождения» заменить словами «проведения мероприятий по празднованию дат основания (юбилеев)»;</w:t>
      </w:r>
      <w:r>
        <w:rPr>
          <w:highlight w:val="none"/>
        </w:rPr>
      </w:r>
      <w:r>
        <w:rPr>
          <w:highlight w:val="none"/>
        </w:rPr>
      </w:r>
    </w:p>
    <w:p>
      <w:pPr>
        <w:pStyle w:val="938"/>
        <w:contextualSpacing/>
        <w:ind w:firstLine="720"/>
        <w:jc w:val="both"/>
        <w:tabs>
          <w:tab w:val="left" w:pos="3840" w:leader="none"/>
        </w:tabs>
      </w:pPr>
      <w:r>
        <w:rPr>
          <w:highlight w:val="none"/>
        </w:rPr>
        <w:t xml:space="preserve">2.4.2. в а</w:t>
      </w:r>
      <w:r>
        <w:t xml:space="preserve">бзаце одиннадцатом слова «и проведению мероприятий, посвященных дням рождения» заменить словами «проведения мероприятий </w:t>
        <w:br/>
        <w:t xml:space="preserve">по празднованию дат основания (юбилеев)»;</w:t>
      </w:r>
      <w:r>
        <w:rPr>
          <w:highlight w:val="none"/>
        </w:rPr>
      </w:r>
      <w:r/>
    </w:p>
    <w:p>
      <w:pPr>
        <w:pStyle w:val="938"/>
        <w:contextualSpacing/>
        <w:ind w:firstLine="720"/>
        <w:jc w:val="both"/>
      </w:pPr>
      <w:r>
        <w:t xml:space="preserve">2.5. раздел 4 изложить в следующей редакции:</w:t>
      </w:r>
      <w:r/>
    </w:p>
    <w:p>
      <w:pPr>
        <w:pStyle w:val="940"/>
        <w:ind w:firstLine="709"/>
        <w:jc w:val="center"/>
        <w:spacing w:line="238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40"/>
        <w:ind w:firstLine="709"/>
        <w:jc w:val="center"/>
        <w:spacing w:line="238" w:lineRule="exac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940"/>
        <w:ind w:firstLine="709"/>
        <w:jc w:val="center"/>
        <w:spacing w:line="238" w:lineRule="exac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940"/>
        <w:ind w:firstLine="709"/>
        <w:jc w:val="center"/>
        <w:spacing w:line="238" w:lineRule="exac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IV. Порядок расчета объема средств </w:t>
      </w:r>
      <w:bookmarkStart w:id="4" w:name="_Hlk239761633"/>
      <w:r>
        <w:rPr>
          <w:rFonts w:ascii="Times New Roman" w:hAnsi="Times New Roman" w:cs="Times New Roman"/>
          <w:b/>
          <w:bCs/>
          <w:sz w:val="28"/>
          <w:szCs w:val="28"/>
        </w:rPr>
        <w:t xml:space="preserve">на организацию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940"/>
        <w:ind w:firstLine="709"/>
        <w:jc w:val="center"/>
        <w:spacing w:line="238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мероприятий по празднованию дат основания (юбилеев)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40"/>
        <w:ind w:firstLine="709"/>
        <w:jc w:val="center"/>
        <w:spacing w:line="238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районов города Перми</w:t>
      </w:r>
      <w:bookmarkEnd w:id="4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40"/>
        <w:contextual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8"/>
        <w:contextualSpacing/>
        <w:ind w:firstLine="709"/>
        <w:jc w:val="both"/>
      </w:pPr>
      <w:r>
        <w:t xml:space="preserve">Расчетные показатели по организации проведения мероприятий </w:t>
      </w:r>
      <w:r>
        <w:br/>
        <w:t xml:space="preserve">по празднованию дат основания (юбилеев) районов города Перми приведены </w:t>
      </w:r>
      <w:r>
        <w:br/>
        <w:t xml:space="preserve">в постановлении администрации города Перми от 21 июня 2021 г. № 456 </w:t>
      </w:r>
      <w:r>
        <w:br/>
      </w:r>
      <w:r>
        <w:t xml:space="preserve">«Об утверждении Методики оп</w:t>
      </w:r>
      <w:r>
        <w:t xml:space="preserve">ределения расчетных показателей по организации проведения мероприятий по празднованию дат основания (юбилеев) районов города Перми, и расчетных показателей по организации проведения мероприятий по празднованию дат основания (юбилеев) районов города Перми».</w:t>
      </w:r>
      <w:r/>
    </w:p>
    <w:p>
      <w:pPr>
        <w:pStyle w:val="938"/>
        <w:contextualSpacing/>
        <w:ind w:firstLine="720"/>
        <w:jc w:val="both"/>
      </w:pPr>
      <w:r>
        <w:t xml:space="preserve">3. Внести изменения в расчетные показатели по организации и проведению мероприятий, посвященных дням рождения районов города Перми, утвержденные постановлением администрации города Перми от 21 июня 2021 г. № 456 (в ред. </w:t>
      </w:r>
      <w:r>
        <w:br/>
        <w:t xml:space="preserve">от 07.10.2021 № 814, от 28.08.2024 № 696, от 20.10.2025 № 852, от 12.02.2026 </w:t>
      </w:r>
      <w:r>
        <w:br/>
        <w:t xml:space="preserve">№ 73), изложив в редакции согласно приложению к настоящему постановлению.</w:t>
      </w:r>
      <w:r/>
    </w:p>
    <w:p>
      <w:pPr>
        <w:pStyle w:val="938"/>
        <w:contextualSpacing/>
        <w:ind w:firstLine="720"/>
        <w:jc w:val="both"/>
      </w:pPr>
      <w:r>
        <w:t xml:space="preserve">4. Настоящее постановление вступает в силу с 01 января 2027 г., но не ранее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/>
    </w:p>
    <w:p>
      <w:pPr>
        <w:pStyle w:val="938"/>
        <w:contextualSpacing/>
        <w:ind w:firstLine="720"/>
        <w:jc w:val="both"/>
      </w:pPr>
      <w:r>
        <w:t xml:space="preserve">5. Управлению по общим вопр</w:t>
      </w:r>
      <w: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/>
    </w:p>
    <w:p>
      <w:pPr>
        <w:pStyle w:val="938"/>
        <w:contextualSpacing/>
        <w:ind w:firstLine="720"/>
        <w:jc w:val="both"/>
      </w:pPr>
      <w:r>
        <w:t xml:space="preserve">6.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/>
    </w:p>
    <w:p>
      <w:pPr>
        <w:pStyle w:val="938"/>
        <w:contextualSpacing/>
        <w:ind w:firstLine="720"/>
        <w:jc w:val="both"/>
      </w:pPr>
      <w:r>
        <w:t xml:space="preserve">7. Контроль за исполнением настоящего постановления возложить </w:t>
      </w:r>
      <w:r>
        <w:br/>
        <w:t xml:space="preserve">на исполняющего обязанности заместителя главы администрации города Перми Ершову О.С</w:t>
      </w:r>
      <w:r>
        <w:rPr>
          <w:bCs/>
        </w:rPr>
        <w:t xml:space="preserve">.</w:t>
      </w:r>
      <w:r>
        <w:t xml:space="preserve"> </w:t>
      </w:r>
      <w:r/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9"/>
        <w:ind w:right="0"/>
        <w:jc w:val="both"/>
        <w:tabs>
          <w:tab w:val="left" w:pos="8080" w:leader="none"/>
        </w:tabs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929"/>
        <w:ind w:right="0"/>
        <w:jc w:val="both"/>
        <w:tabs>
          <w:tab w:val="left" w:pos="8080" w:leader="none"/>
        </w:tabs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929"/>
        <w:ind w:right="0"/>
        <w:spacing w:line="240" w:lineRule="exact"/>
        <w:tabs>
          <w:tab w:val="right" w:pos="9915" w:leader="none"/>
        </w:tabs>
        <w:rPr>
          <w:rFonts w:ascii="Times New Roman" w:hAnsi="Times New Roman"/>
          <w:sz w:val="28"/>
          <w:lang w:val="ru-RU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  <w:sz w:val="28"/>
          <w:szCs w:val="28"/>
          <w:lang w:val="ru-RU"/>
        </w:rPr>
        <w:t xml:space="preserve">Глава города Перми</w:t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>
        <w:rPr>
          <w:rFonts w:ascii="Times New Roman" w:hAnsi="Times New Roman"/>
          <w:sz w:val="28"/>
          <w:lang w:val="ru-RU"/>
        </w:rPr>
        <w:t xml:space="preserve">Э.О. Соснин</w:t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</w:p>
    <w:p>
      <w:pPr>
        <w:ind w:left="5670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28.09.2026 № 593</w:t>
      </w:r>
      <w:r>
        <w:rPr>
          <w:sz w:val="28"/>
          <w:szCs w:val="28"/>
        </w:rPr>
      </w:r>
    </w:p>
    <w:p>
      <w:pPr>
        <w:ind w:left="566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6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РАСЧЕТНЫЕ ПОКАЗАТЕЛИ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38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организации проведения мероприятий по празднованию дат основания (юбилеев) районов города Перми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W w:w="4949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628"/>
        <w:gridCol w:w="3501"/>
        <w:gridCol w:w="1897"/>
        <w:gridCol w:w="1999"/>
        <w:gridCol w:w="1786"/>
      </w:tblGrid>
      <w:tr>
        <w:tblPrEx/>
        <w:trPr>
          <w:trHeight w:val="370"/>
          <w:tblHeader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20" w:type="pct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84" w:type="pct"/>
            <w:vMerge w:val="restar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Район города Перми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gridSpan w:val="3"/>
            <w:tcMar>
              <w:left w:w="108" w:type="dxa"/>
              <w:top w:w="0" w:type="dxa"/>
              <w:right w:w="108" w:type="dxa"/>
              <w:bottom w:w="0" w:type="dxa"/>
            </w:tcMar>
            <w:tcW w:w="2896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Расчетные показатели, руб.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70"/>
          <w:tblHeader/>
        </w:trPr>
        <w:tc>
          <w:tcPr>
            <w:tcW w:w="320" w:type="pct"/>
            <w:vMerge w:val="continue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784" w:type="pct"/>
            <w:vMerge w:val="continue"/>
            <w:textDirection w:val="lrTb"/>
            <w:noWrap w:val="false"/>
          </w:tcPr>
          <w:p>
            <w:pPr>
              <w:jc w:val="center"/>
              <w:spacing w:line="36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67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019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10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70"/>
          <w:tblHeader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20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84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 xml:space="preserve">2</w:t>
            </w:r>
            <w:r>
              <w:rPr>
                <w:bCs/>
                <w:sz w:val="28"/>
                <w:szCs w:val="28"/>
                <w:highlight w:val="yellow"/>
              </w:rPr>
            </w:r>
            <w:r>
              <w:rPr>
                <w:bCs/>
                <w:sz w:val="28"/>
                <w:szCs w:val="28"/>
                <w:highlight w:val="yellow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67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019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10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1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20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84" w:type="pct"/>
            <w:textDirection w:val="lrTb"/>
            <w:noWrap w:val="false"/>
          </w:tcPr>
          <w:p>
            <w:pPr>
              <w:spacing w:line="36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Дзержинский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67" w:type="pct"/>
            <w:textDirection w:val="lrTb"/>
            <w:noWrap w:val="false"/>
          </w:tcPr>
          <w:p>
            <w:pPr>
              <w:ind w:left="-57"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019" w:type="pct"/>
            <w:textDirection w:val="lrTb"/>
            <w:noWrap w:val="false"/>
          </w:tcPr>
          <w:p>
            <w:pPr>
              <w:ind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10" w:type="pct"/>
            <w:textDirection w:val="lrTb"/>
            <w:noWrap w:val="false"/>
          </w:tcPr>
          <w:p>
            <w:pPr>
              <w:jc w:val="center"/>
              <w:spacing w:line="360" w:lineRule="exact"/>
            </w:pPr>
            <w:r>
              <w:rPr>
                <w:sz w:val="28"/>
                <w:szCs w:val="28"/>
              </w:rPr>
              <w:t xml:space="preserve">0,00</w:t>
            </w:r>
            <w:r/>
          </w:p>
        </w:tc>
      </w:tr>
      <w:tr>
        <w:tblPrEx/>
        <w:trPr>
          <w:trHeight w:val="61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20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84" w:type="pct"/>
            <w:textDirection w:val="lrTb"/>
            <w:noWrap w:val="false"/>
          </w:tcPr>
          <w:p>
            <w:pPr>
              <w:spacing w:line="36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Индустриальный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67" w:type="pct"/>
            <w:textDirection w:val="lrTb"/>
            <w:noWrap w:val="false"/>
          </w:tcPr>
          <w:p>
            <w:pPr>
              <w:ind w:left="-57"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700 000,00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019" w:type="pct"/>
            <w:textDirection w:val="lrTb"/>
            <w:noWrap w:val="false"/>
          </w:tcPr>
          <w:p>
            <w:pPr>
              <w:ind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10" w:type="pct"/>
            <w:textDirection w:val="lrTb"/>
            <w:noWrap w:val="false"/>
          </w:tcPr>
          <w:p>
            <w:pPr>
              <w:jc w:val="center"/>
              <w:spacing w:line="360" w:lineRule="exact"/>
            </w:pPr>
            <w:r>
              <w:rPr>
                <w:sz w:val="28"/>
                <w:szCs w:val="28"/>
              </w:rPr>
              <w:t xml:space="preserve">0,00</w:t>
            </w:r>
            <w:r/>
          </w:p>
        </w:tc>
      </w:tr>
      <w:tr>
        <w:tblPrEx/>
        <w:trPr>
          <w:trHeight w:val="61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20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84" w:type="pct"/>
            <w:textDirection w:val="lrTb"/>
            <w:noWrap w:val="false"/>
          </w:tcPr>
          <w:p>
            <w:pPr>
              <w:spacing w:line="36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Кировский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67" w:type="pct"/>
            <w:textDirection w:val="lrTb"/>
            <w:noWrap w:val="false"/>
          </w:tcPr>
          <w:p>
            <w:pPr>
              <w:ind w:left="-57"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019" w:type="pct"/>
            <w:textDirection w:val="lrTb"/>
            <w:noWrap w:val="false"/>
          </w:tcPr>
          <w:p>
            <w:pPr>
              <w:jc w:val="center"/>
              <w:spacing w:line="360" w:lineRule="exact"/>
            </w:pPr>
            <w:r>
              <w:rPr>
                <w:sz w:val="28"/>
                <w:szCs w:val="28"/>
              </w:rPr>
              <w:t xml:space="preserve">0,00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10" w:type="pct"/>
            <w:textDirection w:val="lrTb"/>
            <w:noWrap w:val="false"/>
          </w:tcPr>
          <w:p>
            <w:pPr>
              <w:jc w:val="center"/>
              <w:spacing w:line="360" w:lineRule="exact"/>
            </w:pPr>
            <w:r>
              <w:rPr>
                <w:sz w:val="28"/>
                <w:szCs w:val="28"/>
              </w:rPr>
              <w:t xml:space="preserve">0,00</w:t>
            </w:r>
            <w:r/>
          </w:p>
        </w:tc>
      </w:tr>
      <w:tr>
        <w:tblPrEx/>
        <w:trPr>
          <w:trHeight w:val="61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20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84" w:type="pct"/>
            <w:textDirection w:val="lrTb"/>
            <w:noWrap w:val="false"/>
          </w:tcPr>
          <w:p>
            <w:pPr>
              <w:spacing w:line="36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Ленинский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67" w:type="pct"/>
            <w:textDirection w:val="lrTb"/>
            <w:noWrap w:val="false"/>
          </w:tcPr>
          <w:p>
            <w:pPr>
              <w:ind w:left="-57"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019" w:type="pct"/>
            <w:textDirection w:val="lrTb"/>
            <w:noWrap w:val="false"/>
          </w:tcPr>
          <w:p>
            <w:pPr>
              <w:jc w:val="center"/>
              <w:spacing w:line="360" w:lineRule="exact"/>
            </w:pPr>
            <w:r>
              <w:rPr>
                <w:sz w:val="28"/>
                <w:szCs w:val="28"/>
              </w:rPr>
              <w:t xml:space="preserve">0,00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10" w:type="pct"/>
            <w:textDirection w:val="lrTb"/>
            <w:noWrap w:val="false"/>
          </w:tcPr>
          <w:p>
            <w:pPr>
              <w:jc w:val="center"/>
              <w:spacing w:line="360" w:lineRule="exact"/>
            </w:pPr>
            <w:r>
              <w:rPr>
                <w:sz w:val="28"/>
                <w:szCs w:val="28"/>
              </w:rPr>
              <w:t xml:space="preserve">0,00</w:t>
            </w:r>
            <w:r/>
          </w:p>
        </w:tc>
      </w:tr>
      <w:tr>
        <w:tblPrEx/>
        <w:trPr>
          <w:trHeight w:val="61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20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84" w:type="pct"/>
            <w:textDirection w:val="lrTb"/>
            <w:noWrap w:val="false"/>
          </w:tcPr>
          <w:p>
            <w:pPr>
              <w:spacing w:line="36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Мотовилихинский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67" w:type="pct"/>
            <w:textDirection w:val="lrTb"/>
            <w:noWrap w:val="false"/>
          </w:tcPr>
          <w:p>
            <w:pPr>
              <w:ind w:left="-57"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019" w:type="pct"/>
            <w:textDirection w:val="lrTb"/>
            <w:noWrap w:val="false"/>
          </w:tcPr>
          <w:p>
            <w:pPr>
              <w:jc w:val="center"/>
              <w:spacing w:line="360" w:lineRule="exact"/>
            </w:pPr>
            <w:r>
              <w:rPr>
                <w:sz w:val="28"/>
                <w:szCs w:val="28"/>
              </w:rPr>
              <w:t xml:space="preserve">700 000,00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10" w:type="pct"/>
            <w:textDirection w:val="lrTb"/>
            <w:noWrap w:val="false"/>
          </w:tcPr>
          <w:p>
            <w:pPr>
              <w:ind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1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20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84" w:type="pct"/>
            <w:textDirection w:val="lrTb"/>
            <w:noWrap w:val="false"/>
          </w:tcPr>
          <w:p>
            <w:pPr>
              <w:spacing w:line="36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Орджоникидзевский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67" w:type="pct"/>
            <w:textDirection w:val="lrTb"/>
            <w:noWrap w:val="false"/>
          </w:tcPr>
          <w:p>
            <w:pPr>
              <w:ind w:left="-57"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019" w:type="pct"/>
            <w:textDirection w:val="lrTb"/>
            <w:noWrap w:val="false"/>
          </w:tcPr>
          <w:p>
            <w:pPr>
              <w:jc w:val="center"/>
              <w:spacing w:line="360" w:lineRule="exact"/>
            </w:pPr>
            <w:r>
              <w:rPr>
                <w:sz w:val="28"/>
                <w:szCs w:val="28"/>
              </w:rPr>
              <w:t xml:space="preserve">0,00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10" w:type="pct"/>
            <w:textDirection w:val="lrTb"/>
            <w:noWrap w:val="false"/>
          </w:tcPr>
          <w:p>
            <w:pPr>
              <w:jc w:val="center"/>
              <w:spacing w:line="360" w:lineRule="exact"/>
            </w:pPr>
            <w:r>
              <w:rPr>
                <w:sz w:val="28"/>
                <w:szCs w:val="28"/>
              </w:rPr>
              <w:t xml:space="preserve">0,00</w:t>
            </w:r>
            <w:r/>
          </w:p>
        </w:tc>
      </w:tr>
      <w:tr>
        <w:tblPrEx/>
        <w:trPr>
          <w:trHeight w:val="61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20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84" w:type="pct"/>
            <w:textDirection w:val="lrTb"/>
            <w:noWrap w:val="false"/>
          </w:tcPr>
          <w:p>
            <w:pPr>
              <w:spacing w:line="36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Свердловский 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67" w:type="pct"/>
            <w:textDirection w:val="lrTb"/>
            <w:noWrap w:val="false"/>
          </w:tcPr>
          <w:p>
            <w:pPr>
              <w:ind w:left="-57"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019" w:type="pct"/>
            <w:textDirection w:val="lrTb"/>
            <w:noWrap w:val="false"/>
          </w:tcPr>
          <w:p>
            <w:pPr>
              <w:jc w:val="center"/>
              <w:spacing w:line="360" w:lineRule="exact"/>
            </w:pPr>
            <w:r>
              <w:rPr>
                <w:sz w:val="28"/>
                <w:szCs w:val="28"/>
              </w:rPr>
              <w:t xml:space="preserve">0,00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10" w:type="pct"/>
            <w:textDirection w:val="lrTb"/>
            <w:noWrap w:val="false"/>
          </w:tcPr>
          <w:p>
            <w:pPr>
              <w:jc w:val="center"/>
              <w:spacing w:line="360" w:lineRule="exact"/>
            </w:pPr>
            <w:r>
              <w:rPr>
                <w:sz w:val="28"/>
                <w:szCs w:val="28"/>
              </w:rPr>
              <w:t xml:space="preserve">0,00</w:t>
            </w:r>
            <w:r/>
          </w:p>
        </w:tc>
      </w:tr>
      <w:tr>
        <w:tblPrEx/>
        <w:trPr>
          <w:trHeight w:val="61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20" w:type="pct"/>
            <w:textDirection w:val="lrTb"/>
            <w:noWrap w:val="false"/>
          </w:tcPr>
          <w:p>
            <w:pPr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784" w:type="pct"/>
            <w:textDirection w:val="lrTb"/>
            <w:noWrap w:val="false"/>
          </w:tcPr>
          <w:p>
            <w:pPr>
              <w:spacing w:line="36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Поселок Новые Ляды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67" w:type="pct"/>
            <w:textDirection w:val="lrTb"/>
            <w:noWrap w:val="false"/>
          </w:tcPr>
          <w:p>
            <w:pPr>
              <w:ind w:left="-57"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019" w:type="pct"/>
            <w:textDirection w:val="lrTb"/>
            <w:noWrap w:val="false"/>
          </w:tcPr>
          <w:p>
            <w:pPr>
              <w:jc w:val="center"/>
              <w:spacing w:line="360" w:lineRule="exact"/>
            </w:pPr>
            <w:r>
              <w:rPr>
                <w:sz w:val="28"/>
                <w:szCs w:val="28"/>
              </w:rPr>
              <w:t xml:space="preserve">700 000,00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10" w:type="pct"/>
            <w:textDirection w:val="lrTb"/>
            <w:noWrap w:val="false"/>
          </w:tcPr>
          <w:p>
            <w:pPr>
              <w:ind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58"/>
        </w:trPr>
        <w:tc>
          <w:tcPr>
            <w:gridSpan w:val="2"/>
            <w:tcMar>
              <w:left w:w="108" w:type="dxa"/>
              <w:top w:w="0" w:type="dxa"/>
              <w:right w:w="108" w:type="dxa"/>
              <w:bottom w:w="0" w:type="dxa"/>
            </w:tcMar>
            <w:tcW w:w="2104" w:type="pct"/>
            <w:textDirection w:val="lrTb"/>
            <w:noWrap w:val="false"/>
          </w:tcPr>
          <w:p>
            <w:pPr>
              <w:ind w:left="-57" w:right="-57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67" w:type="pct"/>
            <w:textDirection w:val="lrTb"/>
            <w:noWrap w:val="false"/>
          </w:tcPr>
          <w:p>
            <w:pPr>
              <w:ind w:left="-57"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700 000,00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019" w:type="pct"/>
            <w:textDirection w:val="lrTb"/>
            <w:noWrap w:val="false"/>
          </w:tcPr>
          <w:p>
            <w:pPr>
              <w:ind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400 000,00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910" w:type="pct"/>
            <w:textDirection w:val="lrTb"/>
            <w:noWrap w:val="false"/>
          </w:tcPr>
          <w:p>
            <w:pPr>
              <w:ind w:left="-57" w:right="-57"/>
              <w:jc w:val="center"/>
              <w:spacing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line="360" w:lineRule="exact"/>
      </w:pPr>
      <w:r/>
      <w:r/>
    </w:p>
    <w:p>
      <w:pPr>
        <w:pStyle w:val="929"/>
        <w:ind w:right="0"/>
        <w:spacing w:line="240" w:lineRule="exact"/>
        <w:tabs>
          <w:tab w:val="right" w:pos="9915" w:leader="none"/>
        </w:tabs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  <w:r>
        <w:rPr>
          <w:rFonts w:ascii="Times New Roman" w:hAnsi="Times New Roman"/>
          <w:sz w:val="28"/>
          <w:lang w:val="ru-RU"/>
        </w:rPr>
      </w:r>
    </w:p>
    <w:sectPr>
      <w:headerReference w:type="default" r:id="rId10"/>
      <w:headerReference w:type="even" r:id="rId11"/>
      <w:footerReference w:type="default" r:id="rId12"/>
      <w:footnotePr/>
      <w:endnotePr/>
      <w:type w:val="nextPage"/>
      <w:pgSz w:w="11906" w:h="16838" w:orient="portrait"/>
      <w:pgMar w:top="1134" w:right="567" w:bottom="1134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7"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  \* MERGEFORMAT</w:instrText>
    </w:r>
    <w:r>
      <w:rPr>
        <w:sz w:val="28"/>
      </w:rPr>
      <w:fldChar w:fldCharType="separate"/>
    </w:r>
    <w:r>
      <w:rPr>
        <w:sz w:val="28"/>
      </w:rPr>
      <w:t xml:space="preserve">2</w:t>
    </w:r>
    <w:r>
      <w:rPr>
        <w:sz w:val="28"/>
      </w:rPr>
      <w:fldChar w:fldCharType="end"/>
    </w:r>
    <w:r>
      <w:rPr>
        <w:sz w:val="28"/>
      </w:rPr>
    </w:r>
    <w:r>
      <w:rPr>
        <w:sz w:val="28"/>
      </w:rPr>
    </w:r>
  </w:p>
  <w:p>
    <w:pPr>
      <w:pStyle w:val="77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7"/>
      <w:rPr>
        <w:rStyle w:val="934"/>
      </w:rPr>
      <w:framePr w:wrap="around" w:vAnchor="text" w:hAnchor="margin" w:xAlign="center" w:y="1"/>
    </w:pPr>
    <w:r>
      <w:rPr>
        <w:rStyle w:val="934"/>
      </w:rPr>
      <w:fldChar w:fldCharType="begin"/>
    </w:r>
    <w:r>
      <w:rPr>
        <w:rStyle w:val="934"/>
      </w:rPr>
      <w:instrText xml:space="preserve">PAGE  </w:instrText>
    </w:r>
    <w:r>
      <w:rPr>
        <w:rStyle w:val="934"/>
      </w:rPr>
      <w:fldChar w:fldCharType="end"/>
    </w:r>
    <w:r>
      <w:rPr>
        <w:rStyle w:val="934"/>
      </w:rPr>
    </w:r>
    <w:r>
      <w:rPr>
        <w:rStyle w:val="934"/>
      </w:rPr>
    </w:r>
  </w:p>
  <w:p>
    <w:pPr>
      <w:pStyle w:val="77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4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6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22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2422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22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5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80" w:hanging="2160"/>
      </w:p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1" w:default="1">
    <w:name w:val="Normal"/>
    <w:qFormat/>
  </w:style>
  <w:style w:type="paragraph" w:styleId="732">
    <w:name w:val="Heading 1"/>
    <w:basedOn w:val="731"/>
    <w:next w:val="731"/>
    <w:link w:val="927"/>
    <w:qFormat/>
    <w:pPr>
      <w:ind w:right="-1" w:firstLine="709"/>
      <w:jc w:val="both"/>
      <w:keepNext/>
      <w:outlineLvl w:val="0"/>
    </w:pPr>
    <w:rPr>
      <w:sz w:val="24"/>
      <w:lang w:val="en-US" w:eastAsia="en-US"/>
    </w:rPr>
  </w:style>
  <w:style w:type="paragraph" w:styleId="733">
    <w:name w:val="Heading 2"/>
    <w:basedOn w:val="731"/>
    <w:next w:val="731"/>
    <w:link w:val="928"/>
    <w:qFormat/>
    <w:pPr>
      <w:ind w:right="-1"/>
      <w:jc w:val="both"/>
      <w:keepNext/>
      <w:outlineLvl w:val="1"/>
    </w:pPr>
    <w:rPr>
      <w:sz w:val="24"/>
      <w:lang w:val="en-US" w:eastAsia="en-US"/>
    </w:rPr>
  </w:style>
  <w:style w:type="paragraph" w:styleId="734">
    <w:name w:val="Heading 3"/>
    <w:basedOn w:val="731"/>
    <w:next w:val="731"/>
    <w:link w:val="7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5">
    <w:name w:val="Heading 4"/>
    <w:basedOn w:val="731"/>
    <w:next w:val="731"/>
    <w:link w:val="7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6">
    <w:name w:val="Heading 5"/>
    <w:basedOn w:val="731"/>
    <w:next w:val="731"/>
    <w:link w:val="7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7">
    <w:name w:val="Heading 6"/>
    <w:basedOn w:val="731"/>
    <w:next w:val="731"/>
    <w:link w:val="76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8">
    <w:name w:val="Heading 7"/>
    <w:basedOn w:val="731"/>
    <w:next w:val="731"/>
    <w:link w:val="76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9">
    <w:name w:val="Heading 8"/>
    <w:basedOn w:val="731"/>
    <w:next w:val="731"/>
    <w:link w:val="7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0">
    <w:name w:val="Heading 9"/>
    <w:basedOn w:val="731"/>
    <w:next w:val="731"/>
    <w:link w:val="76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1" w:default="1">
    <w:name w:val="Default Paragraph Font"/>
    <w:uiPriority w:val="1"/>
    <w:semiHidden/>
    <w:unhideWhenUsed/>
  </w:style>
  <w:style w:type="table" w:styleId="7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3" w:default="1">
    <w:name w:val="No List"/>
    <w:uiPriority w:val="99"/>
    <w:semiHidden/>
    <w:unhideWhenUsed/>
  </w:style>
  <w:style w:type="character" w:styleId="744" w:customStyle="1">
    <w:name w:val="Heading 3 Char"/>
    <w:basedOn w:val="741"/>
    <w:uiPriority w:val="9"/>
    <w:rPr>
      <w:rFonts w:ascii="Arial" w:hAnsi="Arial" w:eastAsia="Arial" w:cs="Arial"/>
      <w:sz w:val="30"/>
      <w:szCs w:val="30"/>
    </w:rPr>
  </w:style>
  <w:style w:type="character" w:styleId="745" w:customStyle="1">
    <w:name w:val="Heading 4 Char"/>
    <w:basedOn w:val="741"/>
    <w:uiPriority w:val="9"/>
    <w:rPr>
      <w:rFonts w:ascii="Arial" w:hAnsi="Arial" w:eastAsia="Arial" w:cs="Arial"/>
      <w:b/>
      <w:bCs/>
      <w:sz w:val="26"/>
      <w:szCs w:val="26"/>
    </w:rPr>
  </w:style>
  <w:style w:type="character" w:styleId="746" w:customStyle="1">
    <w:name w:val="Heading 5 Char"/>
    <w:basedOn w:val="741"/>
    <w:uiPriority w:val="9"/>
    <w:rPr>
      <w:rFonts w:ascii="Arial" w:hAnsi="Arial" w:eastAsia="Arial" w:cs="Arial"/>
      <w:b/>
      <w:bCs/>
      <w:sz w:val="24"/>
      <w:szCs w:val="24"/>
    </w:rPr>
  </w:style>
  <w:style w:type="character" w:styleId="747" w:customStyle="1">
    <w:name w:val="Heading 6 Char"/>
    <w:basedOn w:val="741"/>
    <w:uiPriority w:val="9"/>
    <w:rPr>
      <w:rFonts w:ascii="Arial" w:hAnsi="Arial" w:eastAsia="Arial" w:cs="Arial"/>
      <w:b/>
      <w:bCs/>
      <w:sz w:val="22"/>
      <w:szCs w:val="22"/>
    </w:rPr>
  </w:style>
  <w:style w:type="character" w:styleId="748" w:customStyle="1">
    <w:name w:val="Heading 7 Char"/>
    <w:basedOn w:val="74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9" w:customStyle="1">
    <w:name w:val="Heading 8 Char"/>
    <w:basedOn w:val="741"/>
    <w:uiPriority w:val="9"/>
    <w:rPr>
      <w:rFonts w:ascii="Arial" w:hAnsi="Arial" w:eastAsia="Arial" w:cs="Arial"/>
      <w:i/>
      <w:iCs/>
      <w:sz w:val="22"/>
      <w:szCs w:val="22"/>
    </w:rPr>
  </w:style>
  <w:style w:type="character" w:styleId="750" w:customStyle="1">
    <w:name w:val="Heading 9 Char"/>
    <w:basedOn w:val="741"/>
    <w:uiPriority w:val="9"/>
    <w:rPr>
      <w:rFonts w:ascii="Arial" w:hAnsi="Arial" w:eastAsia="Arial" w:cs="Arial"/>
      <w:i/>
      <w:iCs/>
      <w:sz w:val="21"/>
      <w:szCs w:val="21"/>
    </w:rPr>
  </w:style>
  <w:style w:type="character" w:styleId="751" w:customStyle="1">
    <w:name w:val="Title Char"/>
    <w:basedOn w:val="741"/>
    <w:uiPriority w:val="10"/>
    <w:rPr>
      <w:sz w:val="48"/>
      <w:szCs w:val="48"/>
    </w:rPr>
  </w:style>
  <w:style w:type="character" w:styleId="752" w:customStyle="1">
    <w:name w:val="Subtitle Char"/>
    <w:basedOn w:val="741"/>
    <w:uiPriority w:val="11"/>
    <w:rPr>
      <w:sz w:val="24"/>
      <w:szCs w:val="24"/>
    </w:rPr>
  </w:style>
  <w:style w:type="character" w:styleId="753" w:customStyle="1">
    <w:name w:val="Quote Char"/>
    <w:uiPriority w:val="29"/>
    <w:rPr>
      <w:i/>
    </w:rPr>
  </w:style>
  <w:style w:type="character" w:styleId="754" w:customStyle="1">
    <w:name w:val="Intense Quote Char"/>
    <w:uiPriority w:val="30"/>
    <w:rPr>
      <w:i/>
    </w:rPr>
  </w:style>
  <w:style w:type="character" w:styleId="755" w:customStyle="1">
    <w:name w:val="Caption Char"/>
    <w:basedOn w:val="741"/>
    <w:uiPriority w:val="35"/>
    <w:rPr>
      <w:b/>
      <w:bCs/>
      <w:color w:val="4f81bd" w:themeColor="accent1"/>
      <w:sz w:val="18"/>
      <w:szCs w:val="18"/>
    </w:rPr>
  </w:style>
  <w:style w:type="character" w:styleId="756" w:customStyle="1">
    <w:name w:val="Footnote Text Char"/>
    <w:uiPriority w:val="99"/>
    <w:rPr>
      <w:sz w:val="18"/>
    </w:rPr>
  </w:style>
  <w:style w:type="character" w:styleId="757" w:customStyle="1">
    <w:name w:val="Endnote Text Char"/>
    <w:uiPriority w:val="99"/>
    <w:rPr>
      <w:sz w:val="20"/>
    </w:rPr>
  </w:style>
  <w:style w:type="character" w:styleId="758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59" w:customStyle="1">
    <w:name w:val="Heading 2 Char"/>
    <w:uiPriority w:val="9"/>
    <w:rPr>
      <w:rFonts w:ascii="Arial" w:hAnsi="Arial" w:eastAsia="Arial" w:cs="Arial"/>
      <w:sz w:val="34"/>
    </w:rPr>
  </w:style>
  <w:style w:type="character" w:styleId="760" w:customStyle="1">
    <w:name w:val="Заголовок 3 Знак"/>
    <w:link w:val="734"/>
    <w:uiPriority w:val="9"/>
    <w:rPr>
      <w:rFonts w:ascii="Arial" w:hAnsi="Arial" w:eastAsia="Arial" w:cs="Arial"/>
      <w:sz w:val="30"/>
      <w:szCs w:val="30"/>
    </w:rPr>
  </w:style>
  <w:style w:type="character" w:styleId="761" w:customStyle="1">
    <w:name w:val="Заголовок 4 Знак"/>
    <w:link w:val="735"/>
    <w:uiPriority w:val="9"/>
    <w:rPr>
      <w:rFonts w:ascii="Arial" w:hAnsi="Arial" w:eastAsia="Arial" w:cs="Arial"/>
      <w:b/>
      <w:bCs/>
      <w:sz w:val="26"/>
      <w:szCs w:val="26"/>
    </w:rPr>
  </w:style>
  <w:style w:type="character" w:styleId="762" w:customStyle="1">
    <w:name w:val="Заголовок 5 Знак"/>
    <w:link w:val="736"/>
    <w:uiPriority w:val="9"/>
    <w:rPr>
      <w:rFonts w:ascii="Arial" w:hAnsi="Arial" w:eastAsia="Arial" w:cs="Arial"/>
      <w:b/>
      <w:bCs/>
      <w:sz w:val="24"/>
      <w:szCs w:val="24"/>
    </w:rPr>
  </w:style>
  <w:style w:type="character" w:styleId="763" w:customStyle="1">
    <w:name w:val="Заголовок 6 Знак"/>
    <w:link w:val="737"/>
    <w:uiPriority w:val="9"/>
    <w:rPr>
      <w:rFonts w:ascii="Arial" w:hAnsi="Arial" w:eastAsia="Arial" w:cs="Arial"/>
      <w:b/>
      <w:bCs/>
      <w:sz w:val="22"/>
      <w:szCs w:val="22"/>
    </w:rPr>
  </w:style>
  <w:style w:type="character" w:styleId="764" w:customStyle="1">
    <w:name w:val="Заголовок 7 Знак"/>
    <w:link w:val="73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5" w:customStyle="1">
    <w:name w:val="Заголовок 8 Знак"/>
    <w:link w:val="739"/>
    <w:uiPriority w:val="9"/>
    <w:rPr>
      <w:rFonts w:ascii="Arial" w:hAnsi="Arial" w:eastAsia="Arial" w:cs="Arial"/>
      <w:i/>
      <w:iCs/>
      <w:sz w:val="22"/>
      <w:szCs w:val="22"/>
    </w:rPr>
  </w:style>
  <w:style w:type="character" w:styleId="766" w:customStyle="1">
    <w:name w:val="Заголовок 9 Знак"/>
    <w:link w:val="740"/>
    <w:uiPriority w:val="9"/>
    <w:rPr>
      <w:rFonts w:ascii="Arial" w:hAnsi="Arial" w:eastAsia="Arial" w:cs="Arial"/>
      <w:i/>
      <w:iCs/>
      <w:sz w:val="21"/>
      <w:szCs w:val="21"/>
    </w:rPr>
  </w:style>
  <w:style w:type="paragraph" w:styleId="767">
    <w:name w:val="List Paragraph"/>
    <w:basedOn w:val="731"/>
    <w:uiPriority w:val="34"/>
    <w:qFormat/>
    <w:pPr>
      <w:contextualSpacing/>
      <w:ind w:left="720"/>
    </w:pPr>
  </w:style>
  <w:style w:type="paragraph" w:styleId="768">
    <w:name w:val="No Spacing"/>
    <w:uiPriority w:val="1"/>
    <w:qFormat/>
    <w:rPr>
      <w:lang w:eastAsia="zh-CN"/>
    </w:rPr>
  </w:style>
  <w:style w:type="paragraph" w:styleId="769">
    <w:name w:val="Title"/>
    <w:basedOn w:val="731"/>
    <w:next w:val="731"/>
    <w:link w:val="77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0" w:customStyle="1">
    <w:name w:val="Заголовок Знак"/>
    <w:link w:val="769"/>
    <w:uiPriority w:val="10"/>
    <w:rPr>
      <w:sz w:val="48"/>
      <w:szCs w:val="48"/>
    </w:rPr>
  </w:style>
  <w:style w:type="paragraph" w:styleId="771">
    <w:name w:val="Subtitle"/>
    <w:basedOn w:val="731"/>
    <w:next w:val="731"/>
    <w:link w:val="772"/>
    <w:uiPriority w:val="11"/>
    <w:qFormat/>
    <w:pPr>
      <w:spacing w:before="200" w:after="200"/>
    </w:pPr>
    <w:rPr>
      <w:sz w:val="24"/>
      <w:szCs w:val="24"/>
    </w:rPr>
  </w:style>
  <w:style w:type="character" w:styleId="772" w:customStyle="1">
    <w:name w:val="Подзаголовок Знак"/>
    <w:link w:val="771"/>
    <w:uiPriority w:val="11"/>
    <w:rPr>
      <w:sz w:val="24"/>
      <w:szCs w:val="24"/>
    </w:rPr>
  </w:style>
  <w:style w:type="paragraph" w:styleId="773">
    <w:name w:val="Quote"/>
    <w:basedOn w:val="731"/>
    <w:next w:val="731"/>
    <w:link w:val="774"/>
    <w:uiPriority w:val="29"/>
    <w:qFormat/>
    <w:pPr>
      <w:ind w:left="720" w:right="720"/>
    </w:pPr>
    <w:rPr>
      <w:i/>
    </w:rPr>
  </w:style>
  <w:style w:type="character" w:styleId="774" w:customStyle="1">
    <w:name w:val="Цитата 2 Знак"/>
    <w:link w:val="773"/>
    <w:uiPriority w:val="29"/>
    <w:rPr>
      <w:i/>
    </w:rPr>
  </w:style>
  <w:style w:type="paragraph" w:styleId="775">
    <w:name w:val="Intense Quote"/>
    <w:basedOn w:val="731"/>
    <w:next w:val="731"/>
    <w:link w:val="77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6" w:customStyle="1">
    <w:name w:val="Выделенная цитата Знак"/>
    <w:link w:val="775"/>
    <w:uiPriority w:val="30"/>
    <w:rPr>
      <w:i/>
    </w:rPr>
  </w:style>
  <w:style w:type="paragraph" w:styleId="777">
    <w:name w:val="Header"/>
    <w:basedOn w:val="731"/>
    <w:link w:val="935"/>
    <w:uiPriority w:val="99"/>
    <w:pPr>
      <w:tabs>
        <w:tab w:val="center" w:pos="4153" w:leader="none"/>
        <w:tab w:val="right" w:pos="8306" w:leader="none"/>
      </w:tabs>
    </w:pPr>
  </w:style>
  <w:style w:type="character" w:styleId="778" w:customStyle="1">
    <w:name w:val="Header Char"/>
    <w:uiPriority w:val="99"/>
  </w:style>
  <w:style w:type="paragraph" w:styleId="779">
    <w:name w:val="Footer"/>
    <w:basedOn w:val="731"/>
    <w:link w:val="933"/>
    <w:uiPriority w:val="99"/>
    <w:pPr>
      <w:tabs>
        <w:tab w:val="center" w:pos="4153" w:leader="none"/>
        <w:tab w:val="right" w:pos="8306" w:leader="none"/>
      </w:tabs>
    </w:pPr>
  </w:style>
  <w:style w:type="character" w:styleId="780" w:customStyle="1">
    <w:name w:val="Footer Char"/>
    <w:uiPriority w:val="99"/>
  </w:style>
  <w:style w:type="paragraph" w:styleId="781">
    <w:name w:val="Caption"/>
    <w:basedOn w:val="731"/>
    <w:next w:val="731"/>
    <w:link w:val="782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82" w:customStyle="1">
    <w:name w:val="Название объекта Знак"/>
    <w:link w:val="781"/>
    <w:uiPriority w:val="35"/>
    <w:rPr>
      <w:b/>
      <w:bCs/>
      <w:color w:val="4f81bd"/>
      <w:sz w:val="18"/>
      <w:szCs w:val="18"/>
    </w:rPr>
  </w:style>
  <w:style w:type="table" w:styleId="783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4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5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6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7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8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9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25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6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74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8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9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2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6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909">
    <w:name w:val="Hyperlink"/>
    <w:uiPriority w:val="99"/>
    <w:unhideWhenUsed/>
    <w:rPr>
      <w:color w:val="0000ff"/>
      <w:u w:val="single"/>
    </w:rPr>
  </w:style>
  <w:style w:type="paragraph" w:styleId="910">
    <w:name w:val="footnote text"/>
    <w:basedOn w:val="731"/>
    <w:link w:val="911"/>
    <w:uiPriority w:val="99"/>
    <w:semiHidden/>
    <w:unhideWhenUsed/>
    <w:pPr>
      <w:spacing w:after="40"/>
    </w:pPr>
    <w:rPr>
      <w:sz w:val="18"/>
    </w:rPr>
  </w:style>
  <w:style w:type="character" w:styleId="911" w:customStyle="1">
    <w:name w:val="Текст сноски Знак"/>
    <w:link w:val="910"/>
    <w:uiPriority w:val="99"/>
    <w:rPr>
      <w:sz w:val="18"/>
    </w:rPr>
  </w:style>
  <w:style w:type="character" w:styleId="912">
    <w:name w:val="footnote reference"/>
    <w:uiPriority w:val="99"/>
    <w:unhideWhenUsed/>
    <w:rPr>
      <w:vertAlign w:val="superscript"/>
    </w:rPr>
  </w:style>
  <w:style w:type="paragraph" w:styleId="913">
    <w:name w:val="endnote text"/>
    <w:basedOn w:val="731"/>
    <w:link w:val="914"/>
    <w:uiPriority w:val="99"/>
    <w:semiHidden/>
    <w:unhideWhenUsed/>
  </w:style>
  <w:style w:type="character" w:styleId="914" w:customStyle="1">
    <w:name w:val="Текст концевой сноски Знак"/>
    <w:link w:val="913"/>
    <w:uiPriority w:val="99"/>
    <w:rPr>
      <w:sz w:val="20"/>
    </w:rPr>
  </w:style>
  <w:style w:type="character" w:styleId="915">
    <w:name w:val="endnote reference"/>
    <w:uiPriority w:val="99"/>
    <w:semiHidden/>
    <w:unhideWhenUsed/>
    <w:rPr>
      <w:vertAlign w:val="superscript"/>
    </w:rPr>
  </w:style>
  <w:style w:type="paragraph" w:styleId="916">
    <w:name w:val="toc 1"/>
    <w:basedOn w:val="731"/>
    <w:next w:val="731"/>
    <w:uiPriority w:val="39"/>
    <w:unhideWhenUsed/>
    <w:pPr>
      <w:spacing w:after="57"/>
    </w:pPr>
  </w:style>
  <w:style w:type="paragraph" w:styleId="917">
    <w:name w:val="toc 2"/>
    <w:basedOn w:val="731"/>
    <w:next w:val="731"/>
    <w:uiPriority w:val="39"/>
    <w:unhideWhenUsed/>
    <w:pPr>
      <w:ind w:left="283"/>
      <w:spacing w:after="57"/>
    </w:pPr>
  </w:style>
  <w:style w:type="paragraph" w:styleId="918">
    <w:name w:val="toc 3"/>
    <w:basedOn w:val="731"/>
    <w:next w:val="731"/>
    <w:uiPriority w:val="39"/>
    <w:unhideWhenUsed/>
    <w:pPr>
      <w:ind w:left="567"/>
      <w:spacing w:after="57"/>
    </w:pPr>
  </w:style>
  <w:style w:type="paragraph" w:styleId="919">
    <w:name w:val="toc 4"/>
    <w:basedOn w:val="731"/>
    <w:next w:val="731"/>
    <w:uiPriority w:val="39"/>
    <w:unhideWhenUsed/>
    <w:pPr>
      <w:ind w:left="850"/>
      <w:spacing w:after="57"/>
    </w:pPr>
  </w:style>
  <w:style w:type="paragraph" w:styleId="920">
    <w:name w:val="toc 5"/>
    <w:basedOn w:val="731"/>
    <w:next w:val="731"/>
    <w:uiPriority w:val="39"/>
    <w:unhideWhenUsed/>
    <w:pPr>
      <w:ind w:left="1134"/>
      <w:spacing w:after="57"/>
    </w:pPr>
  </w:style>
  <w:style w:type="paragraph" w:styleId="921">
    <w:name w:val="toc 6"/>
    <w:basedOn w:val="731"/>
    <w:next w:val="731"/>
    <w:uiPriority w:val="39"/>
    <w:unhideWhenUsed/>
    <w:pPr>
      <w:ind w:left="1417"/>
      <w:spacing w:after="57"/>
    </w:pPr>
  </w:style>
  <w:style w:type="paragraph" w:styleId="922">
    <w:name w:val="toc 7"/>
    <w:basedOn w:val="731"/>
    <w:next w:val="731"/>
    <w:uiPriority w:val="39"/>
    <w:unhideWhenUsed/>
    <w:pPr>
      <w:ind w:left="1701"/>
      <w:spacing w:after="57"/>
    </w:pPr>
  </w:style>
  <w:style w:type="paragraph" w:styleId="923">
    <w:name w:val="toc 8"/>
    <w:basedOn w:val="731"/>
    <w:next w:val="731"/>
    <w:uiPriority w:val="39"/>
    <w:unhideWhenUsed/>
    <w:pPr>
      <w:ind w:left="1984"/>
      <w:spacing w:after="57"/>
    </w:pPr>
  </w:style>
  <w:style w:type="paragraph" w:styleId="924">
    <w:name w:val="toc 9"/>
    <w:basedOn w:val="731"/>
    <w:next w:val="731"/>
    <w:uiPriority w:val="39"/>
    <w:unhideWhenUsed/>
    <w:pPr>
      <w:ind w:left="2268"/>
      <w:spacing w:after="57"/>
    </w:pPr>
  </w:style>
  <w:style w:type="paragraph" w:styleId="925">
    <w:name w:val="TOC Heading"/>
    <w:uiPriority w:val="39"/>
    <w:unhideWhenUsed/>
    <w:rPr>
      <w:lang w:eastAsia="zh-CN"/>
    </w:rPr>
  </w:style>
  <w:style w:type="paragraph" w:styleId="926">
    <w:name w:val="table of figures"/>
    <w:basedOn w:val="731"/>
    <w:next w:val="731"/>
    <w:uiPriority w:val="99"/>
    <w:unhideWhenUsed/>
  </w:style>
  <w:style w:type="character" w:styleId="927" w:customStyle="1">
    <w:name w:val="Заголовок 1 Знак"/>
    <w:link w:val="732"/>
    <w:rPr>
      <w:sz w:val="24"/>
    </w:rPr>
  </w:style>
  <w:style w:type="character" w:styleId="928" w:customStyle="1">
    <w:name w:val="Заголовок 2 Знак"/>
    <w:link w:val="733"/>
    <w:rPr>
      <w:sz w:val="24"/>
    </w:rPr>
  </w:style>
  <w:style w:type="paragraph" w:styleId="929">
    <w:name w:val="Body Text"/>
    <w:basedOn w:val="731"/>
    <w:link w:val="930"/>
    <w:pPr>
      <w:ind w:right="3117"/>
    </w:pPr>
    <w:rPr>
      <w:rFonts w:ascii="Courier New" w:hAnsi="Courier New"/>
      <w:sz w:val="26"/>
      <w:lang w:val="en-US" w:eastAsia="en-US"/>
    </w:rPr>
  </w:style>
  <w:style w:type="character" w:styleId="930" w:customStyle="1">
    <w:name w:val="Основной текст Знак"/>
    <w:link w:val="929"/>
    <w:rPr>
      <w:rFonts w:ascii="Courier New" w:hAnsi="Courier New"/>
      <w:sz w:val="26"/>
    </w:rPr>
  </w:style>
  <w:style w:type="paragraph" w:styleId="931">
    <w:name w:val="Body Text Indent"/>
    <w:basedOn w:val="731"/>
    <w:link w:val="932"/>
    <w:pPr>
      <w:ind w:right="-1"/>
      <w:jc w:val="both"/>
    </w:pPr>
    <w:rPr>
      <w:sz w:val="26"/>
      <w:lang w:val="en-US" w:eastAsia="en-US"/>
    </w:rPr>
  </w:style>
  <w:style w:type="character" w:styleId="932" w:customStyle="1">
    <w:name w:val="Основной текст с отступом Знак"/>
    <w:link w:val="931"/>
    <w:rPr>
      <w:sz w:val="26"/>
    </w:rPr>
  </w:style>
  <w:style w:type="character" w:styleId="933" w:customStyle="1">
    <w:name w:val="Нижний колонтитул Знак"/>
    <w:basedOn w:val="741"/>
    <w:link w:val="779"/>
    <w:uiPriority w:val="99"/>
  </w:style>
  <w:style w:type="character" w:styleId="934">
    <w:name w:val="page number"/>
    <w:basedOn w:val="741"/>
  </w:style>
  <w:style w:type="character" w:styleId="935" w:customStyle="1">
    <w:name w:val="Верхний колонтитул Знак"/>
    <w:link w:val="777"/>
    <w:uiPriority w:val="99"/>
  </w:style>
  <w:style w:type="paragraph" w:styleId="936">
    <w:name w:val="Balloon Text"/>
    <w:basedOn w:val="731"/>
    <w:link w:val="937"/>
    <w:rPr>
      <w:rFonts w:ascii="Segoe UI" w:hAnsi="Segoe UI"/>
      <w:sz w:val="18"/>
      <w:szCs w:val="18"/>
      <w:lang w:val="en-US" w:eastAsia="en-US"/>
    </w:rPr>
  </w:style>
  <w:style w:type="character" w:styleId="937" w:customStyle="1">
    <w:name w:val="Текст выноски Знак"/>
    <w:link w:val="936"/>
    <w:rPr>
      <w:rFonts w:ascii="Segoe UI" w:hAnsi="Segoe UI" w:cs="Segoe UI"/>
      <w:sz w:val="18"/>
      <w:szCs w:val="18"/>
    </w:rPr>
  </w:style>
  <w:style w:type="paragraph" w:styleId="938" w:customStyle="1">
    <w:name w:val="Форма"/>
    <w:rPr>
      <w:sz w:val="28"/>
      <w:szCs w:val="28"/>
    </w:rPr>
  </w:style>
  <w:style w:type="paragraph" w:styleId="939" w:customStyle="1">
    <w:name w:val="ConsPlusTitle"/>
    <w:pPr>
      <w:widowControl w:val="off"/>
    </w:pPr>
    <w:rPr>
      <w:rFonts w:ascii="Calibri" w:hAnsi="Calibri" w:cs="Calibri"/>
      <w:b/>
      <w:sz w:val="22"/>
    </w:rPr>
  </w:style>
  <w:style w:type="paragraph" w:styleId="940" w:customStyle="1">
    <w:name w:val="ConsPlusNormal"/>
    <w:pPr>
      <w:widowControl w:val="off"/>
    </w:pPr>
    <w:rPr>
      <w:rFonts w:ascii="Calibri" w:hAnsi="Calibri" w:cs="Calibri"/>
      <w:sz w:val="22"/>
    </w:rPr>
  </w:style>
  <w:style w:type="paragraph" w:styleId="941">
    <w:name w:val="Normal (Web)"/>
    <w:basedOn w:val="731"/>
    <w:uiPriority w:val="99"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customXml" Target="../customXml/item1.xml" /><Relationship Id="rId14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ACAC6-BD2C-4E5C-9F68-1799293C5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5</cp:revision>
  <dcterms:created xsi:type="dcterms:W3CDTF">2026-09-18T10:10:00Z</dcterms:created>
  <dcterms:modified xsi:type="dcterms:W3CDTF">2026-09-29T04:57:02Z</dcterms:modified>
  <cp:version>1048576</cp:version>
</cp:coreProperties>
</file>