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8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" behindDoc="0" locked="0" layoutInCell="0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237490</wp:posOffset>
                </wp:positionV>
                <wp:extent cx="6391800" cy="1556280"/>
                <wp:effectExtent l="0" t="0" r="0" b="0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1800" cy="1556280"/>
                          <a:chOff x="0" y="0"/>
                          <a:chExt cx="6391800" cy="155628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86360"/>
                            <a:ext cx="6391800" cy="106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768"/>
                                <w:jc w:val="center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АДМИНИСТРАЦИЯ ГОРОДА ПЕРМИ</w:t>
                              </w:r>
                              <w:r/>
                            </w:p>
                            <w:p>
                              <w:pPr>
                                <w:pStyle w:val="768"/>
                                <w:jc w:val="center"/>
                                <w:rPr>
                                  <w:b w:val="0"/>
                                  <w:bCs w:val="0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sz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b w:val="0"/>
                                  <w:bCs w:val="0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</w:rPr>
                              </w:r>
                            </w:p>
                            <w:p>
                              <w:pPr>
                                <w:pStyle w:val="768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Рисунок 3" descr=""/>
                          <pic:cNvPicPr/>
                          <pic:nvPr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2988444" y="0"/>
                            <a:ext cx="414000" cy="477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;o:allowoverlap:true;o:allowincell:false;mso-position-horizontal-relative:page;margin-left:70.90pt;mso-position-horizontal:absolute;mso-position-vertical-relative:page;margin-top:18.70pt;mso-position-vertical:absolute;width:503.29pt;height:122.54pt;mso-wrap-distance-left:0.00pt;mso-wrap-distance-top:0.00pt;mso-wrap-distance-right:0.00pt;mso-wrap-distance-bottom:0.00pt;" coordorigin="0,0" coordsize="63918,15562">
                <v:shape id="shape 2" o:spid="_x0000_s2" o:spt="1" type="#_x0000_t1" style="position:absolute;left:0;top:4863;width:63918;height:10699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768"/>
                          <w:jc w:val="center"/>
                        </w:pPr>
                        <w:r>
                          <w:rPr>
                            <w:b/>
                            <w:sz w:val="28"/>
                          </w:rPr>
                          <w:t xml:space="preserve">АДМИНИСТРАЦИЯ ГОРОДА ПЕРМИ</w:t>
                        </w:r>
                        <w:r/>
                      </w:p>
                      <w:p>
                        <w:pPr>
                          <w:pStyle w:val="768"/>
                          <w:jc w:val="center"/>
                          <w:rPr>
                            <w:b w:val="0"/>
                            <w:bCs w:val="0"/>
                          </w:rPr>
                        </w:pPr>
                        <w:r>
                          <w:rPr>
                            <w:b w:val="0"/>
                            <w:bCs w:val="0"/>
                            <w:sz w:val="28"/>
                          </w:rPr>
                          <w:t xml:space="preserve">П О С Т А Н О В Л Е Н И Е</w:t>
                        </w:r>
                        <w:r>
                          <w:rPr>
                            <w:b w:val="0"/>
                            <w:bCs w:val="0"/>
                          </w:rPr>
                        </w:r>
                        <w:r>
                          <w:rPr>
                            <w:b w:val="0"/>
                            <w:bCs w:val="0"/>
                          </w:rPr>
                        </w:r>
                      </w:p>
                      <w:p>
                        <w:pPr>
                          <w:pStyle w:val="768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" o:spid="_x0000_s3" type="#_x0000_t75" style="position:absolute;left:29884;top:0;width:4140;height:4770;" stroked="f" strokeweight="0.00pt">
                  <v:path textboxrect="0,0,0,0"/>
                  <v:imagedata r:id="rId14" o:title=""/>
                </v:shape>
              </v:group>
            </w:pict>
          </mc:Fallback>
        </mc:AlternateContent>
      </w:r>
      <w:r/>
    </w:p>
    <w:p>
      <w:pPr>
        <w:pStyle w:val="80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0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0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68"/>
        <w:jc w:val="both"/>
        <w:rPr>
          <w:sz w:val="24"/>
          <w:lang w:val="en-US"/>
        </w:rPr>
      </w:pPr>
      <w:r>
        <w:rPr>
          <w:sz w:val="24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0" distL="635" distR="0" simplePos="0" relativeHeight="3" behindDoc="0" locked="0" layoutInCell="1" allowOverlap="1">
                <wp:simplePos x="0" y="0"/>
                <wp:positionH relativeFrom="column">
                  <wp:posOffset>4763770</wp:posOffset>
                </wp:positionH>
                <wp:positionV relativeFrom="page">
                  <wp:posOffset>1447165</wp:posOffset>
                </wp:positionV>
                <wp:extent cx="1536065" cy="347345"/>
                <wp:effectExtent l="635" t="635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36120" cy="34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905"/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3;o:allowoverlap:true;o:allowincell:true;mso-position-horizontal-relative:text;margin-left:375.10pt;mso-position-horizontal:absolute;mso-position-vertical-relative:page;margin-top:113.95pt;mso-position-vertical:absolute;width:120.95pt;height:27.35pt;mso-wrap-distance-left:0.05pt;mso-wrap-distance-top:0.05pt;mso-wrap-distance-right:0.00pt;mso-wrap-distance-bottom:0.00pt;v-text-anchor:top;visibility:visible;" filled="f" stroked="f" strokeweight="0.00pt">
                <v:textbox inset="0,0,0,0">
                  <w:txbxContent>
                    <w:p>
                      <w:pPr>
                        <w:pStyle w:val="905"/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0" distL="635" distR="0" simplePos="0" relativeHeight="7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ge">
                  <wp:posOffset>1447165</wp:posOffset>
                </wp:positionV>
                <wp:extent cx="1536065" cy="347345"/>
                <wp:effectExtent l="635" t="635" r="0" b="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36120" cy="34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905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7;o:allowoverlap:true;o:allowincell:true;mso-position-horizontal-relative:text;margin-left:11.95pt;mso-position-horizontal:absolute;mso-position-vertical-relative:page;margin-top:113.95pt;mso-position-vertical:absolute;width:120.95pt;height:27.35pt;mso-wrap-distance-left:0.05pt;mso-wrap-distance-top:0.05pt;mso-wrap-distance-right:0.00pt;mso-wrap-distance-bottom:0.00pt;v-text-anchor:top;visibility:visible;" filled="f" stroked="f" strokeweight="0.00pt">
                <v:textbox inset="0,0,0,0">
                  <w:txbxContent>
                    <w:p>
                      <w:pPr>
                        <w:pStyle w:val="905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768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768"/>
      </w:pPr>
      <w:r/>
      <w:r/>
    </w:p>
    <w:p>
      <w:pPr>
        <w:pStyle w:val="768"/>
        <w:jc w:val="both"/>
        <w:rPr>
          <w:sz w:val="24"/>
        </w:rPr>
      </w:pP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  <w:t xml:space="preserve">29.09.2026</w:t>
      </w:r>
      <w:r>
        <w:rPr>
          <w:sz w:val="24"/>
        </w:rPr>
        <w:t xml:space="preserve">                                       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№ 596</w:t>
      </w:r>
      <w:r>
        <w:rPr>
          <w:sz w:val="24"/>
        </w:rPr>
      </w:r>
      <w:r>
        <w:rPr>
          <w:sz w:val="24"/>
        </w:rPr>
      </w:r>
    </w:p>
    <w:p>
      <w:pPr>
        <w:pStyle w:val="768"/>
      </w:pPr>
      <w:r/>
      <w:r/>
    </w:p>
    <w:p>
      <w:pPr>
        <w:pStyle w:val="768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768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76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Методику расчета нормативных затрат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6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на выполнение муниципальной работы </w:t>
      </w:r>
      <w:r>
        <w:rPr>
          <w:b/>
          <w:bCs/>
          <w:sz w:val="28"/>
          <w:szCs w:val="28"/>
        </w:rPr>
        <w:t xml:space="preserve">«Организация и проведение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6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культурно-массовых мероприятий» (публичные лекции) и нормативных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6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затрат на содержание муниципального имущества, </w:t>
      </w:r>
      <w:r>
        <w:rPr>
          <w:b/>
          <w:sz w:val="28"/>
          <w:szCs w:val="28"/>
        </w:rPr>
        <w:t xml:space="preserve">утвержденную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6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постановлением администрации города Перми от 24.08.2016 № 623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52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2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2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68"/>
        <w:ind w:firstLine="720"/>
        <w:jc w:val="both"/>
      </w:pPr>
      <w:r>
        <w:rPr>
          <w:sz w:val="28"/>
          <w:szCs w:val="24"/>
        </w:rPr>
        <w:t xml:space="preserve">В соответствии </w:t>
      </w:r>
      <w:r>
        <w:rPr>
          <w:sz w:val="28"/>
          <w:szCs w:val="28"/>
        </w:rPr>
        <w:t xml:space="preserve">с Бюджетным кодексом Российской Федерации, постановлением администрации гор</w:t>
      </w:r>
      <w:r>
        <w:rPr>
          <w:sz w:val="28"/>
          <w:szCs w:val="28"/>
        </w:rPr>
        <w:t xml:space="preserve">ода Перми от 30 ноября 2007 г. № 502 «О Порядке формирования, размещения, финансового обеспечения и контроля выполнения муниципального задания на оказание муниципальных услуг (выполнение работ)», в целях актуализации нормативных правовых актов города Перми</w:t>
      </w:r>
      <w:r/>
    </w:p>
    <w:p>
      <w:pPr>
        <w:pStyle w:val="768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администрация города Перми ПОСТАНОВЛЯЕТ: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53"/>
        <w:ind w:firstLine="720"/>
        <w:jc w:val="both"/>
      </w:pPr>
      <w:r/>
      <w:bookmarkStart w:id="0" w:name="undefined"/>
      <w:r/>
      <w:bookmarkEnd w:id="0"/>
      <w:r>
        <w:t xml:space="preserve">1. </w:t>
      </w:r>
      <w:bookmarkStart w:id="1" w:name="undefined_Копия_1"/>
      <w:r>
        <w:t xml:space="preserve">Внести в Методику расчета нормативных затрат на выполнение муниципальной </w:t>
      </w:r>
      <w:bookmarkEnd w:id="1"/>
      <w:r>
        <w:t xml:space="preserve">работы «Организация и проведение культурно-массовых мероприятий» (публичные лекции) и нормативных затрат на содержание муниципального имущества, </w:t>
      </w:r>
      <w:bookmarkStart w:id="2" w:name="undefined_Копия_2"/>
      <w:r>
        <w:t xml:space="preserve">утвержденную постановлением администрации города Перми от 24 августа 2016 г. № 623 (в ред. oт 31.01.2017 № 57, </w:t>
      </w:r>
      <w:r>
        <w:rPr>
          <w:color w:val="000000"/>
        </w:rPr>
        <w:t xml:space="preserve">от 13.07.2017 № 534</w:t>
      </w:r>
      <w:r>
        <w:t xml:space="preserve">, от 27.10.2017 </w:t>
        <w:br/>
      </w:r>
      <w:r>
        <w:t xml:space="preserve">№ 956, от 05.10.2018 № 684, от 03.04.2019 № 63-П, от 26.08.2020 № 753, </w:t>
        <w:br/>
        <w:t xml:space="preserve">от 11.08.2021 № 593, от 20.12.2021 № 1161, от 25.10.2022 № 1079, от 07.09.2023 </w:t>
        <w:br/>
        <w:t xml:space="preserve">№ 814, от 16.09.2024 № 771, от 29.09.2025 № 686), </w:t>
      </w:r>
      <w:bookmarkStart w:id="3" w:name="undefined_Копия_3"/>
      <w:r/>
      <w:bookmarkEnd w:id="2"/>
      <w:r>
        <w:t xml:space="preserve">следующие изменения:</w:t>
      </w:r>
      <w:r/>
    </w:p>
    <w:p>
      <w:pPr>
        <w:pStyle w:val="768"/>
        <w:ind w:firstLine="709"/>
        <w:jc w:val="both"/>
        <w:rPr>
          <w:rFonts w:cs="Times New Roman"/>
        </w:rPr>
      </w:pPr>
      <w:r/>
      <w:bookmarkStart w:id="4" w:name="undefined_Копия_4"/>
      <w:r/>
      <w:bookmarkEnd w:id="3"/>
      <w:r>
        <w:rPr>
          <w:sz w:val="28"/>
          <w:szCs w:val="24"/>
        </w:rPr>
        <w:t xml:space="preserve">1.1.</w:t>
      </w:r>
      <w:bookmarkEnd w:id="4"/>
      <w:r>
        <w:rPr>
          <w:sz w:val="28"/>
          <w:szCs w:val="24"/>
        </w:rPr>
        <w:t xml:space="preserve"> в пункте 1.3 слова «муниципальное автономное учреждение культуры </w:t>
      </w:r>
      <w:r>
        <w:rPr>
          <w:rFonts w:eastAsia="Calibri" w:cs="Times New Roman"/>
          <w:color w:val="000000"/>
          <w:sz w:val="28"/>
          <w:szCs w:val="28"/>
          <w:lang w:eastAsia="en-US"/>
        </w:rPr>
        <w:t xml:space="preserve">«Пермский Планетарий» заменить словами </w:t>
      </w:r>
      <w:r>
        <w:rPr>
          <w:rFonts w:eastAsia="Calibri" w:cs="Times New Roman"/>
          <w:color w:val="000000"/>
          <w:sz w:val="28"/>
          <w:szCs w:val="24"/>
          <w:lang w:eastAsia="en-US"/>
        </w:rPr>
        <w:t xml:space="preserve">«муниципальное автономное учреждение культуры города Перми </w:t>
      </w:r>
      <w:r>
        <w:rPr>
          <w:rFonts w:eastAsia="Calibri" w:cs="Times New Roman"/>
          <w:color w:val="000000"/>
          <w:sz w:val="28"/>
          <w:szCs w:val="28"/>
          <w:lang w:eastAsia="en-US"/>
        </w:rPr>
        <w:t xml:space="preserve">«Пермский Планетарий»;</w:t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768"/>
        <w:ind w:firstLine="709"/>
        <w:jc w:val="both"/>
      </w:pPr>
      <w:r>
        <w:rPr>
          <w:sz w:val="28"/>
          <w:szCs w:val="24"/>
        </w:rPr>
        <w:t xml:space="preserve">1.2. в абзаце четвертом пункта 3.1</w:t>
      </w:r>
      <w:bookmarkStart w:id="5" w:name="undefined_Копия_5"/>
      <w:r>
        <w:rPr>
          <w:sz w:val="28"/>
          <w:szCs w:val="24"/>
        </w:rPr>
        <w:t xml:space="preserve"> цифры «94 980» заменить цифрами </w:t>
        <w:br/>
        <w:t xml:space="preserve">«100 400»;</w:t>
      </w:r>
      <w:r/>
    </w:p>
    <w:p>
      <w:pPr>
        <w:pStyle w:val="768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1.3. в пункте 4.1: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68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1.3.1. </w:t>
      </w:r>
      <w:r>
        <w:rPr>
          <w:sz w:val="28"/>
        </w:rPr>
        <w:t xml:space="preserve">абзац первый изложить в следующей редакции: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68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«4.1. Для расчета нормативных затрат на выполнение муниципальной работы используются цены (тарифы), действующие на 01 августа 2026 г.,</w:t>
      </w:r>
      <w:r>
        <w:rPr>
          <w:sz w:val="28"/>
          <w:szCs w:val="24"/>
        </w:rPr>
        <w:t xml:space="preserve"> информация </w:t>
        <w:br/>
        <w:t xml:space="preserve">о рыночных ценах (тарифах) на идентичные планируемым к приобретению материальным запасам, объектам движимого имущества, работам и услугам, а при их отсутствии – на однородные материальные запасы, объекты движимого имущества, работы и услуги.»;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68"/>
        <w:ind w:firstLine="720"/>
      </w:pPr>
      <w:r>
        <w:rPr>
          <w:sz w:val="28"/>
          <w:szCs w:val="24"/>
        </w:rPr>
        <w:t xml:space="preserve">1.3.2. абзац третий </w:t>
      </w:r>
      <w:bookmarkEnd w:id="5"/>
      <w:r>
        <w:rPr>
          <w:sz w:val="28"/>
          <w:szCs w:val="24"/>
        </w:rPr>
        <w:t xml:space="preserve">признать утратившим силу;</w:t>
      </w:r>
      <w:bookmarkStart w:id="6" w:name="undefined_Копия_6"/>
      <w:r/>
      <w:r/>
    </w:p>
    <w:p>
      <w:pPr>
        <w:pStyle w:val="768"/>
        <w:ind w:firstLine="720"/>
        <w:jc w:val="both"/>
      </w:pPr>
      <w:r>
        <w:rPr>
          <w:sz w:val="28"/>
          <w:szCs w:val="24"/>
        </w:rPr>
        <w:t xml:space="preserve">1.4.</w:t>
      </w:r>
      <w:r>
        <w:rPr>
          <w:b/>
          <w:bCs/>
          <w:sz w:val="28"/>
          <w:szCs w:val="24"/>
        </w:rPr>
        <w:t xml:space="preserve"> </w:t>
      </w:r>
      <w:r>
        <w:rPr>
          <w:sz w:val="28"/>
          <w:szCs w:val="24"/>
        </w:rPr>
        <w:t xml:space="preserve">пункт 4.3</w:t>
      </w:r>
      <w:r>
        <w:rPr>
          <w:sz w:val="28"/>
          <w:szCs w:val="24"/>
          <w:vertAlign w:val="superscript"/>
        </w:rPr>
        <w:t xml:space="preserve">1</w:t>
      </w:r>
      <w:r>
        <w:rPr>
          <w:sz w:val="28"/>
          <w:szCs w:val="24"/>
        </w:rPr>
        <w:t xml:space="preserve"> изложить в следующей редакции:</w:t>
      </w:r>
      <w:r/>
    </w:p>
    <w:p>
      <w:pPr>
        <w:pStyle w:val="768"/>
        <w:ind w:firstLine="720"/>
        <w:jc w:val="both"/>
      </w:pPr>
      <w:r>
        <w:rPr>
          <w:sz w:val="28"/>
          <w:szCs w:val="24"/>
        </w:rPr>
        <w:t xml:space="preserve">«4.3</w:t>
      </w:r>
      <w:r>
        <w:rPr>
          <w:sz w:val="28"/>
          <w:szCs w:val="24"/>
          <w:vertAlign w:val="superscript"/>
        </w:rPr>
        <w:t xml:space="preserve">1</w:t>
      </w:r>
      <w:r>
        <w:rPr>
          <w:sz w:val="28"/>
          <w:szCs w:val="24"/>
        </w:rPr>
        <w:t xml:space="preserve">. </w:t>
      </w:r>
      <w:r>
        <w:rPr>
          <w:sz w:val="28"/>
          <w:szCs w:val="28"/>
        </w:rPr>
        <w:t xml:space="preserve">В составе иных затрат, непосредственно связанных с выполнением муниципальной </w:t>
      </w:r>
      <w:bookmarkEnd w:id="6"/>
      <w:r>
        <w:rPr>
          <w:sz w:val="28"/>
          <w:szCs w:val="28"/>
        </w:rPr>
        <w:t xml:space="preserve">работы</w:t>
      </w:r>
      <w:bookmarkStart w:id="7" w:name="undefined_Копия_7"/>
      <w:r>
        <w:rPr>
          <w:sz w:val="28"/>
          <w:szCs w:val="28"/>
        </w:rPr>
        <w:t xml:space="preserve"> (N</w:t>
      </w:r>
      <w:r>
        <w:rPr>
          <w:sz w:val="28"/>
          <w:szCs w:val="28"/>
          <w:vertAlign w:val="superscript"/>
        </w:rPr>
        <w:t xml:space="preserve">ИЗ</w:t>
      </w:r>
      <w:r>
        <w:rPr>
          <w:sz w:val="28"/>
          <w:szCs w:val="28"/>
        </w:rPr>
        <w:t xml:space="preserve">), учитываются затраты на оплату коммунальных услуг, непосредственно связанные с выполнением муниципальной работы (N</w:t>
      </w:r>
      <w:r>
        <w:rPr>
          <w:sz w:val="28"/>
          <w:szCs w:val="28"/>
          <w:vertAlign w:val="superscript"/>
        </w:rPr>
        <w:t xml:space="preserve">КУ1</w:t>
      </w:r>
      <w:r>
        <w:rPr>
          <w:sz w:val="28"/>
          <w:szCs w:val="28"/>
        </w:rPr>
        <w:t xml:space="preserve">), которые рассчитываются по следующей формуле:</w:t>
      </w:r>
      <w:r/>
    </w:p>
    <w:p>
      <w:pPr>
        <w:pStyle w:val="76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КУ1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эл1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тепло1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вода1 </w:t>
      </w:r>
      <w:r>
        <w:rPr>
          <w:sz w:val="28"/>
          <w:szCs w:val="28"/>
        </w:rPr>
        <w:t xml:space="preserve">+ N</w:t>
      </w:r>
      <w:r>
        <w:rPr>
          <w:sz w:val="28"/>
          <w:szCs w:val="28"/>
          <w:vertAlign w:val="subscript"/>
        </w:rPr>
        <w:t xml:space="preserve">негатив1</w:t>
      </w:r>
      <w:r>
        <w:rPr>
          <w:sz w:val="28"/>
          <w:szCs w:val="28"/>
        </w:rPr>
        <w:t xml:space="preserve">, где 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эл1</w:t>
      </w:r>
      <w:r>
        <w:rPr>
          <w:sz w:val="28"/>
          <w:szCs w:val="28"/>
        </w:rPr>
        <w:t xml:space="preserve"> – затраты на оплату электрической энергии, непосредственно связанные с выполнением муниципальной работы;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тепло1</w:t>
      </w:r>
      <w:r>
        <w:rPr>
          <w:sz w:val="28"/>
          <w:szCs w:val="28"/>
        </w:rPr>
        <w:t xml:space="preserve"> – затраты на оплату тепловой энергии, непосредственно связанные </w:t>
        <w:br/>
        <w:t xml:space="preserve">с выполнением муниципальной работы;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вода1</w:t>
      </w:r>
      <w:r>
        <w:rPr>
          <w:sz w:val="28"/>
          <w:szCs w:val="28"/>
        </w:rPr>
        <w:t xml:space="preserve"> – затраты на оплату водоснабжения и водоотведения, непосредственно связанные с выполнением  муниципальной работы;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негатив1 </w:t>
      </w:r>
      <w:r>
        <w:rPr>
          <w:sz w:val="28"/>
          <w:szCs w:val="28"/>
        </w:rPr>
        <w:t xml:space="preserve">–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затраты </w:t>
      </w:r>
      <w:bookmarkEnd w:id="7"/>
      <w:r>
        <w:rPr>
          <w:sz w:val="28"/>
          <w:szCs w:val="28"/>
        </w:rPr>
        <w:t xml:space="preserve">по плате за негативное воздействие на работу централизованной системы водоотведения, непосредственно связанные с выполнением муниципальной работы.</w:t>
      </w:r>
      <w:bookmarkStart w:id="8" w:name="undefined_Копия_8"/>
      <w:r/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Затраты на коммунальные услуги, непосредственно связанные с выполнением муниципальной работы, рассчитываются по следующим формулам: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эл1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эл1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 xml:space="preserve">эл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эл1</w:t>
      </w:r>
      <w:r>
        <w:rPr>
          <w:sz w:val="28"/>
          <w:szCs w:val="28"/>
        </w:rPr>
        <w:t xml:space="preserve"> – значение натуральной нормы потребления электрической энергии, используемой в процессе выполнения муниципальной работы, рассчитанное как отношение объема фактически потребленной электрической энергии в </w:t>
      </w:r>
      <w:r>
        <w:rPr>
          <w:color w:val="000000"/>
          <w:sz w:val="28"/>
          <w:szCs w:val="28"/>
        </w:rPr>
        <w:t xml:space="preserve">2025</w:t>
      </w:r>
      <w:r>
        <w:rPr>
          <w:sz w:val="28"/>
          <w:szCs w:val="28"/>
        </w:rPr>
        <w:t xml:space="preserve"> году </w:t>
        <w:br/>
        <w:t xml:space="preserve">к среднему количеству участников мероприятий;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эл</w:t>
      </w:r>
      <w:r>
        <w:rPr>
          <w:sz w:val="28"/>
          <w:szCs w:val="28"/>
        </w:rPr>
        <w:t xml:space="preserve"> – тариф на электрическую энергию, руб.;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тепло1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тепло1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 xml:space="preserve">тепло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тепло1</w:t>
      </w:r>
      <w:r>
        <w:rPr>
          <w:sz w:val="28"/>
          <w:szCs w:val="28"/>
        </w:rPr>
        <w:t xml:space="preserve"> – значение натуральной нормы потребления тепловой энергии, используемой в процессе выполнения муниципальной работы, рассчитанное как отношение объема фактически потребленной тепловой энергии в </w:t>
      </w:r>
      <w:r>
        <w:rPr>
          <w:color w:val="000000"/>
          <w:sz w:val="28"/>
          <w:szCs w:val="28"/>
        </w:rPr>
        <w:t xml:space="preserve">2025</w:t>
      </w:r>
      <w:r>
        <w:rPr>
          <w:sz w:val="28"/>
          <w:szCs w:val="28"/>
        </w:rPr>
        <w:t xml:space="preserve"> году к среднему количеству участников мероприятий;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тепло</w:t>
      </w:r>
      <w:r>
        <w:rPr>
          <w:sz w:val="28"/>
          <w:szCs w:val="28"/>
        </w:rPr>
        <w:t xml:space="preserve"> – тариф на тепловую энергию, руб.;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вода1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вода1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 xml:space="preserve">вода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вода1</w:t>
      </w:r>
      <w:r>
        <w:rPr>
          <w:sz w:val="28"/>
          <w:szCs w:val="28"/>
        </w:rPr>
        <w:t xml:space="preserve"> – значение натураль</w:t>
      </w:r>
      <w:r>
        <w:rPr>
          <w:sz w:val="28"/>
          <w:szCs w:val="28"/>
        </w:rPr>
        <w:t xml:space="preserve">ной нормы потребленного объема водоснабжения (водоотведения), используемого в процессе выполнения  муниципальной работы, рассчитанное как отношение потребленного объема водоснабжения (водоотведения) в 2025 году к среднему количеству участников мероприятий;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вода</w:t>
      </w:r>
      <w:r>
        <w:rPr>
          <w:sz w:val="28"/>
          <w:szCs w:val="28"/>
        </w:rPr>
        <w:t xml:space="preserve"> – тариф на водоснабжение (водоотведение), руб.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center"/>
      </w:pPr>
      <w:r/>
      <w:bookmarkStart w:id="9" w:name="undefined_Копия_9"/>
      <w:r/>
      <w:bookmarkEnd w:id="8"/>
      <w:r/>
      <w:bookmarkEnd w:id="9"/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негатив1 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негатив1 </w:t>
      </w:r>
      <w:r>
        <w:rPr>
          <w:sz w:val="28"/>
          <w:szCs w:val="28"/>
        </w:rPr>
        <w:t xml:space="preserve">х R</w:t>
      </w:r>
      <w:r>
        <w:rPr>
          <w:sz w:val="28"/>
          <w:szCs w:val="28"/>
          <w:vertAlign w:val="subscript"/>
        </w:rPr>
        <w:t xml:space="preserve">негатив1 </w:t>
      </w:r>
      <w:r>
        <w:rPr>
          <w:sz w:val="28"/>
          <w:szCs w:val="28"/>
        </w:rPr>
        <w:t xml:space="preserve">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негатив1</w:t>
      </w:r>
      <w:r>
        <w:rPr>
          <w:sz w:val="28"/>
          <w:szCs w:val="28"/>
        </w:rPr>
        <w:t xml:space="preserve"> – значение натуральной нормы затрат </w:t>
      </w:r>
      <w:r>
        <w:rPr>
          <w:sz w:val="28"/>
          <w:szCs w:val="24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водоотведения, непосредственно связанных с выполнением муниципальной работы, рассчитанное как отношение количества единиц оказанных услуг </w:t>
      </w:r>
      <w:r>
        <w:rPr>
          <w:sz w:val="28"/>
          <w:szCs w:val="24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к среднему количеству участников мероприятий;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негатив1</w:t>
      </w:r>
      <w:r>
        <w:rPr>
          <w:sz w:val="28"/>
          <w:szCs w:val="28"/>
        </w:rPr>
        <w:t xml:space="preserve"> – цена (тариф) на оказание услуг </w:t>
      </w:r>
      <w:r>
        <w:rPr>
          <w:sz w:val="28"/>
          <w:szCs w:val="24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(руб.). </w:t>
      </w:r>
      <w:r/>
    </w:p>
    <w:p>
      <w:pPr>
        <w:pStyle w:val="768"/>
        <w:ind w:firstLine="720"/>
        <w:jc w:val="both"/>
      </w:pPr>
      <w:r/>
      <w:bookmarkStart w:id="10" w:name="undefined_Копия_10"/>
      <w:r/>
      <w:bookmarkStart w:id="11" w:name="undefined_Копия_9_Копия_1"/>
      <w:r/>
      <w:bookmarkEnd w:id="11"/>
      <w:r>
        <w:rPr>
          <w:sz w:val="28"/>
          <w:szCs w:val="28"/>
        </w:rPr>
        <w:t xml:space="preserve">Стоимость (цена, тариф) коммунальной услуги определяется в соответствии с положениями </w:t>
      </w:r>
      <w:hyperlink r:id="rId15" w:tooltip="https://login.consultant.ru/link/?req=doc&amp;base=RLAW368&amp;n=197628&amp;dst=131" w:history="1">
        <w:r>
          <w:rPr>
            <w:rStyle w:val="804"/>
            <w:color w:val="000000"/>
            <w:sz w:val="28"/>
            <w:szCs w:val="28"/>
            <w:u w:val="none"/>
          </w:rPr>
          <w:t xml:space="preserve">пункта 4.1</w:t>
        </w:r>
      </w:hyperlink>
      <w:r>
        <w:rPr>
          <w:color w:val="000000"/>
          <w:sz w:val="28"/>
          <w:szCs w:val="28"/>
        </w:rPr>
        <w:t xml:space="preserve"> н</w:t>
      </w:r>
      <w:r>
        <w:rPr>
          <w:sz w:val="28"/>
          <w:szCs w:val="28"/>
        </w:rPr>
        <w:t xml:space="preserve">астоящей Методики.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Затраты на оплату коммунальных услуг, непосредственно связанные с выполнением муниципальной работы, рассчитываются исходя из объемов потребления топливно-энергетических ресурсов в натуральном выражении в соответствии </w:t>
        <w:br/>
        <w:t xml:space="preserve">с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пунктом 1.3 настоящей Методики.»;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1.5. в пункте 4.5: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1.5.1. абзац второй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68"/>
        <w:ind w:firstLine="567"/>
        <w:jc w:val="center"/>
      </w:pPr>
      <w:r>
        <w:rPr>
          <w:sz w:val="28"/>
          <w:szCs w:val="24"/>
        </w:rPr>
        <w:t xml:space="preserve">«</w:t>
      </w: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КУ2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эл2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тепло2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вода2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негатив2 </w:t>
      </w:r>
      <w:r>
        <w:rPr>
          <w:sz w:val="28"/>
          <w:szCs w:val="28"/>
        </w:rPr>
        <w:t xml:space="preserve">+ N</w:t>
      </w:r>
      <w:r>
        <w:rPr>
          <w:sz w:val="28"/>
          <w:szCs w:val="28"/>
          <w:vertAlign w:val="subscript"/>
        </w:rPr>
        <w:t xml:space="preserve">тко</w:t>
      </w:r>
      <w:r>
        <w:rPr>
          <w:sz w:val="28"/>
          <w:szCs w:val="28"/>
        </w:rPr>
        <w:t xml:space="preserve">, где</w:t>
      </w:r>
      <w:r>
        <w:rPr>
          <w:sz w:val="28"/>
          <w:szCs w:val="24"/>
        </w:rPr>
        <w:t xml:space="preserve">»;</w:t>
      </w:r>
      <w:r/>
    </w:p>
    <w:p>
      <w:pPr>
        <w:pStyle w:val="768"/>
        <w:ind w:firstLine="567"/>
        <w:jc w:val="center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68"/>
        <w:ind w:firstLine="720"/>
      </w:pPr>
      <w:r>
        <w:rPr>
          <w:sz w:val="28"/>
          <w:szCs w:val="24"/>
        </w:rPr>
        <w:t xml:space="preserve">1.5.2. </w:t>
      </w:r>
      <w:r>
        <w:rPr>
          <w:sz w:val="28"/>
          <w:szCs w:val="28"/>
        </w:rPr>
        <w:t xml:space="preserve">после </w:t>
      </w:r>
      <w:bookmarkEnd w:id="10"/>
      <w:r>
        <w:rPr>
          <w:sz w:val="28"/>
          <w:szCs w:val="28"/>
        </w:rPr>
        <w:t xml:space="preserve">абзаца пятого дополнить абзацем следующего содержания:</w:t>
      </w:r>
      <w:bookmarkStart w:id="12" w:name="undefined_Копия_11"/>
      <w:r/>
      <w:r/>
    </w:p>
    <w:p>
      <w:pPr>
        <w:pStyle w:val="768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bookmarkStart w:id="13" w:name="undefined_Копия_12"/>
      <w:r/>
      <w:bookmarkEnd w:id="12"/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негатив2</w:t>
      </w:r>
      <w:bookmarkEnd w:id="13"/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затраты по плате за негативное воздействие на работу централизованной системы водоотведения, за исключением затрат, непосредственно связанных с выполнением муниципальной работы;»;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1.5.3. </w:t>
      </w:r>
      <w:r>
        <w:rPr>
          <w:sz w:val="28"/>
          <w:szCs w:val="24"/>
        </w:rPr>
        <w:t xml:space="preserve">в абзаце девятом цифры «2015» заменить цифрами </w:t>
      </w:r>
      <w:r>
        <w:rPr>
          <w:color w:val="000000"/>
          <w:sz w:val="28"/>
          <w:szCs w:val="24"/>
        </w:rPr>
        <w:t xml:space="preserve">«2025»;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768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1.5.4. </w:t>
      </w:r>
      <w:r>
        <w:rPr>
          <w:sz w:val="28"/>
          <w:szCs w:val="24"/>
        </w:rPr>
        <w:t xml:space="preserve">в абзаце двенадцатом цифры «2015» заменить цифрами </w:t>
      </w:r>
      <w:r>
        <w:rPr>
          <w:color w:val="000000"/>
          <w:sz w:val="28"/>
          <w:szCs w:val="24"/>
        </w:rPr>
        <w:t xml:space="preserve">«2025»;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768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1.5.5. </w:t>
      </w:r>
      <w:r>
        <w:rPr>
          <w:sz w:val="28"/>
          <w:szCs w:val="24"/>
        </w:rPr>
        <w:t xml:space="preserve">в абзаце пятнадцатом цифры «2015» заменить цифрами </w:t>
      </w:r>
      <w:r>
        <w:rPr>
          <w:color w:val="000000"/>
          <w:sz w:val="28"/>
          <w:szCs w:val="24"/>
        </w:rPr>
        <w:t xml:space="preserve">«2025»;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768"/>
        <w:ind w:firstLine="720"/>
      </w:pPr>
      <w:r>
        <w:rPr>
          <w:sz w:val="28"/>
          <w:szCs w:val="24"/>
        </w:rPr>
        <w:t xml:space="preserve">1.5.6. после </w:t>
      </w:r>
      <w:r>
        <w:rPr>
          <w:sz w:val="28"/>
          <w:szCs w:val="28"/>
        </w:rPr>
        <w:t xml:space="preserve">абзаца шестнадцатого дополнить абзацами следующего содержания:</w:t>
      </w:r>
      <w:r/>
    </w:p>
    <w:p>
      <w:pPr>
        <w:pStyle w:val="768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68"/>
        <w:ind w:firstLine="720"/>
        <w:jc w:val="center"/>
      </w:pPr>
      <w:r>
        <w:rPr>
          <w:sz w:val="28"/>
          <w:szCs w:val="28"/>
        </w:rPr>
        <w:t xml:space="preserve">«N</w:t>
      </w:r>
      <w:r>
        <w:rPr>
          <w:sz w:val="28"/>
          <w:szCs w:val="28"/>
          <w:vertAlign w:val="subscript"/>
        </w:rPr>
        <w:t xml:space="preserve">негатив2 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негатив2 </w:t>
      </w:r>
      <w:r>
        <w:rPr>
          <w:sz w:val="28"/>
          <w:szCs w:val="28"/>
        </w:rPr>
        <w:t xml:space="preserve">х R</w:t>
      </w:r>
      <w:r>
        <w:rPr>
          <w:sz w:val="28"/>
          <w:szCs w:val="28"/>
          <w:vertAlign w:val="subscript"/>
        </w:rPr>
        <w:t xml:space="preserve">негатив2 </w:t>
      </w:r>
      <w:r>
        <w:rPr>
          <w:sz w:val="28"/>
          <w:szCs w:val="28"/>
        </w:rPr>
        <w:t xml:space="preserve">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негатив2</w:t>
      </w:r>
      <w:r>
        <w:rPr>
          <w:sz w:val="28"/>
          <w:szCs w:val="28"/>
        </w:rPr>
        <w:t xml:space="preserve"> – значение натуральной нормы </w:t>
      </w:r>
      <w:bookmarkStart w:id="14" w:name="undefined_Копия_13"/>
      <w:r>
        <w:rPr>
          <w:sz w:val="28"/>
          <w:szCs w:val="28"/>
        </w:rPr>
        <w:t xml:space="preserve">затрат </w:t>
      </w:r>
      <w:r>
        <w:rPr>
          <w:sz w:val="28"/>
          <w:szCs w:val="24"/>
        </w:rPr>
        <w:t xml:space="preserve">по плате услуг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</w:t>
      </w:r>
      <w:bookmarkEnd w:id="14"/>
      <w:r>
        <w:rPr>
          <w:sz w:val="28"/>
          <w:szCs w:val="28"/>
        </w:rPr>
        <w:t xml:space="preserve">, не используемых в процессе выполнения муниципальной работы, рассчитанное как отношение количества единиц оказанных услуг </w:t>
      </w:r>
      <w:r>
        <w:rPr>
          <w:sz w:val="28"/>
          <w:szCs w:val="24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к среднему количеству участников мероприятий за отчетный финансовый год;</w:t>
      </w:r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негатив2</w:t>
      </w:r>
      <w:r>
        <w:rPr>
          <w:sz w:val="28"/>
          <w:szCs w:val="28"/>
        </w:rPr>
        <w:t xml:space="preserve"> – цена (тариф) на оказание услуг </w:t>
      </w:r>
      <w:r>
        <w:rPr>
          <w:sz w:val="28"/>
          <w:szCs w:val="24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(руб.).»;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в пункте 4.6: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1.6.1.</w:t>
      </w:r>
      <w:r>
        <w:rPr>
          <w:sz w:val="28"/>
          <w:szCs w:val="24"/>
        </w:rPr>
        <w:t xml:space="preserve"> </w:t>
      </w:r>
      <w:bookmarkStart w:id="15" w:name="undefined_Копия_14"/>
      <w:r>
        <w:rPr>
          <w:sz w:val="28"/>
          <w:szCs w:val="24"/>
        </w:rPr>
        <w:t xml:space="preserve">абзац восьмой дополнить словами «и </w:t>
      </w:r>
      <w:r>
        <w:rPr>
          <w:sz w:val="28"/>
          <w:szCs w:val="28"/>
        </w:rPr>
        <w:t xml:space="preserve">дезинсекция»</w:t>
      </w:r>
      <w:r>
        <w:rPr>
          <w:sz w:val="28"/>
          <w:szCs w:val="24"/>
        </w:rPr>
        <w:t xml:space="preserve">;</w:t>
      </w:r>
      <w:bookmarkEnd w:id="15"/>
      <w:r/>
      <w:r/>
    </w:p>
    <w:p>
      <w:pPr>
        <w:pStyle w:val="768"/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1.6.2. абзацы девятый, десятый признать утратившими силу;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1.6.3. </w:t>
      </w:r>
      <w:r>
        <w:rPr>
          <w:sz w:val="28"/>
          <w:szCs w:val="24"/>
        </w:rPr>
        <w:t xml:space="preserve">дополнить абзацем следующего содержания: 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«ремонт, сервисное обслуживание компьютерной техники и иной оргтехники.»;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в пункте 4.7: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1.7.1. </w:t>
      </w:r>
      <w:r>
        <w:rPr>
          <w:sz w:val="28"/>
          <w:szCs w:val="24"/>
        </w:rPr>
        <w:t xml:space="preserve">абзацы седьмой-десятый признать утратившими силу;</w:t>
      </w:r>
      <w:r/>
    </w:p>
    <w:p>
      <w:pPr>
        <w:pStyle w:val="768"/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1.7.2. дополнить абзацами следующего содержания: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«техническое обслуживание систем оповещения;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техническое обслуживание систем охранно-пожарной сигнализации, охранного телевидения;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техническое обслуживание прибора пультовой пожарной сигнализации.»;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абзац шестой пункта 4.8 </w:t>
      </w:r>
      <w:r>
        <w:rPr>
          <w:sz w:val="28"/>
          <w:szCs w:val="24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«В составе затрат на оплату услуг связи учитываются услуги абонентской связи, сотовой связи и услуги подключения к информационно-телекоммуникационной сети Интернет, которые определяются согласно </w:t>
      </w:r>
      <w:hyperlink r:id="rId16" w:tooltip="https://login.consultant.ru/link/?req=doc&amp;base=RLAW368&amp;n=199045&amp;dst=143" w:history="1">
        <w:r>
          <w:rPr>
            <w:rStyle w:val="804"/>
            <w:color w:val="000000"/>
            <w:sz w:val="28"/>
            <w:szCs w:val="28"/>
            <w:u w:val="none"/>
          </w:rPr>
          <w:t xml:space="preserve">пункту 1.3</w:t>
        </w:r>
      </w:hyperlink>
      <w:r>
        <w:rPr>
          <w:color w:val="000000"/>
          <w:sz w:val="28"/>
          <w:szCs w:val="28"/>
        </w:rPr>
        <w:t xml:space="preserve"> настоящей Методики.»;</w:t>
      </w:r>
      <w:r/>
    </w:p>
    <w:p>
      <w:pPr>
        <w:pStyle w:val="768"/>
        <w:ind w:firstLine="720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1.9. пункт 4.10 изложить в следующей редакции:</w:t>
      </w:r>
      <w:r>
        <w:rPr>
          <w:color w:val="000000"/>
          <w:sz w:val="28"/>
          <w:szCs w:val="24"/>
        </w:rPr>
      </w:r>
      <w:r>
        <w:rPr>
          <w:color w:val="000000"/>
          <w:sz w:val="28"/>
          <w:szCs w:val="24"/>
        </w:rPr>
      </w:r>
    </w:p>
    <w:p>
      <w:pPr>
        <w:pStyle w:val="768"/>
        <w:ind w:firstLine="720"/>
        <w:jc w:val="both"/>
      </w:pPr>
      <w:r>
        <w:rPr>
          <w:color w:val="000000"/>
          <w:sz w:val="28"/>
          <w:szCs w:val="28"/>
        </w:rPr>
        <w:t xml:space="preserve">«4.10. Затраты на прочие общехозяйственные нужды (N</w:t>
      </w:r>
      <w:r>
        <w:rPr>
          <w:color w:val="000000"/>
          <w:sz w:val="28"/>
          <w:szCs w:val="28"/>
          <w:vertAlign w:val="superscript"/>
        </w:rPr>
        <w:t xml:space="preserve">ПНЗ</w:t>
      </w:r>
      <w:r>
        <w:rPr>
          <w:color w:val="000000"/>
          <w:sz w:val="28"/>
          <w:szCs w:val="28"/>
        </w:rPr>
        <w:t xml:space="preserve">) определяются согласно </w:t>
      </w:r>
      <w:r>
        <w:rPr>
          <w:sz w:val="28"/>
          <w:szCs w:val="28"/>
        </w:rPr>
        <w:t xml:space="preserve">пункту 1.3</w:t>
      </w:r>
      <w:r>
        <w:rPr>
          <w:color w:val="000000"/>
          <w:sz w:val="28"/>
          <w:szCs w:val="28"/>
        </w:rPr>
        <w:t xml:space="preserve"> настоящей Методики и рассчитываются п</w:t>
      </w:r>
      <w:r>
        <w:rPr>
          <w:sz w:val="28"/>
          <w:szCs w:val="28"/>
        </w:rPr>
        <w:t xml:space="preserve">о следующей формуле:</w:t>
      </w:r>
      <w:r/>
    </w:p>
    <w:p>
      <w:pPr>
        <w:pStyle w:val="76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  <w:widowControl w:val="off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ПНЗ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 xml:space="preserve">ПР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perscript"/>
        </w:rPr>
        <w:t xml:space="preserve">ОС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perscript"/>
        </w:rPr>
        <w:t xml:space="preserve">МЗ</w:t>
      </w:r>
      <w:r>
        <w:rPr>
          <w:sz w:val="28"/>
          <w:szCs w:val="28"/>
        </w:rPr>
        <w:t xml:space="preserve">, где</w:t>
      </w:r>
      <w:r/>
    </w:p>
    <w:p>
      <w:pPr>
        <w:pStyle w:val="76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ПР</w:t>
      </w:r>
      <w:r>
        <w:rPr>
          <w:sz w:val="28"/>
          <w:szCs w:val="28"/>
        </w:rPr>
        <w:t xml:space="preserve"> – затраты на приобретение прочих работ (услуг);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– затраты на приобретение особо ценного движимого имущества;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ОС</w:t>
      </w:r>
      <w:r>
        <w:rPr>
          <w:sz w:val="28"/>
          <w:szCs w:val="28"/>
        </w:rPr>
        <w:t xml:space="preserve"> – затраты на увеличение стоимости основных средств;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МЗ</w:t>
      </w:r>
      <w:r>
        <w:rPr>
          <w:sz w:val="28"/>
          <w:szCs w:val="28"/>
        </w:rPr>
        <w:t xml:space="preserve"> – затраты на увеличение стоимости материальных запасов.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Стоимость прочих работ (услуг), особо ценного движимого имущества, основных средств и материальных запасов определяется в соответствии с положениями </w:t>
      </w:r>
      <w:r>
        <w:rPr>
          <w:rStyle w:val="804"/>
          <w:color w:val="000000"/>
          <w:sz w:val="28"/>
          <w:szCs w:val="28"/>
          <w:u w:val="none"/>
        </w:rPr>
        <w:t xml:space="preserve">пункта 4.1</w:t>
      </w:r>
      <w:r>
        <w:rPr>
          <w:color w:val="000000"/>
          <w:sz w:val="28"/>
          <w:szCs w:val="28"/>
        </w:rPr>
        <w:t xml:space="preserve"> настоящей Методики.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составе затрат на</w:t>
      </w:r>
      <w:r>
        <w:rPr>
          <w:sz w:val="28"/>
          <w:szCs w:val="28"/>
        </w:rPr>
        <w:t xml:space="preserve"> приобретение прочих работ (услуг) (N</w:t>
      </w:r>
      <w:r>
        <w:rPr>
          <w:sz w:val="28"/>
          <w:szCs w:val="28"/>
          <w:vertAlign w:val="superscript"/>
        </w:rPr>
        <w:t xml:space="preserve">ПР</w:t>
      </w:r>
      <w:r>
        <w:rPr>
          <w:sz w:val="28"/>
          <w:szCs w:val="28"/>
        </w:rPr>
        <w:t xml:space="preserve">) учитываются следующие работы (услуги):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услуги физической охраны;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услуги охраны объектов;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обслуживание по закупкам;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изготовление и размещение рекламных материалов;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услуги Справочной Правовой Системы КонсультантПлюс;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неисключительная лицензия на использование программного продукта;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экспертиза технического состояния объектов;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предрейсовый и послерейсовый медицинский осмотр;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услуги по реализации электронных билетов;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обслуживание узла учета тепловой энергии.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</w:pPr>
      <w:r>
        <w:rPr>
          <w:sz w:val="28"/>
          <w:szCs w:val="28"/>
        </w:rPr>
        <w:t xml:space="preserve">Затраты на приобретение прочих работ (услуг) (N</w:t>
      </w:r>
      <w:r>
        <w:rPr>
          <w:sz w:val="28"/>
          <w:szCs w:val="28"/>
          <w:vertAlign w:val="superscript"/>
        </w:rPr>
        <w:t xml:space="preserve">ПР</w:t>
      </w:r>
      <w:r>
        <w:rPr>
          <w:sz w:val="28"/>
          <w:szCs w:val="28"/>
        </w:rPr>
        <w:t xml:space="preserve">) рассчитываются </w:t>
        <w:br/>
        <w:t xml:space="preserve">по следующей формуле:</w:t>
      </w:r>
      <w:r/>
    </w:p>
    <w:p>
      <w:pPr>
        <w:pStyle w:val="76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  <w:widowControl w:val="off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ПР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пр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 xml:space="preserve">пр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пр</w:t>
      </w:r>
      <w:r>
        <w:rPr>
          <w:sz w:val="28"/>
          <w:szCs w:val="28"/>
        </w:rPr>
        <w:t xml:space="preserve"> – значение натуральной нормы потребления на приобретение прочих работ (услуг), рассчитанное как отношение количества единиц работ (услуг) на приобретение прочих работ (услуг) к среднему количеству участников мероприятий;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пр</w:t>
      </w:r>
      <w:r>
        <w:rPr>
          <w:sz w:val="28"/>
          <w:szCs w:val="28"/>
        </w:rPr>
        <w:t xml:space="preserve"> – цена (тариф) конкретного вида прочих работ (услуг), руб.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</w:pPr>
      <w:r>
        <w:rPr>
          <w:sz w:val="28"/>
          <w:szCs w:val="28"/>
        </w:rPr>
        <w:t xml:space="preserve">Затраты на приобретение особо ценного движимого имущества (N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) рассчитываются по следующей формуле:</w:t>
      </w:r>
      <w:r/>
    </w:p>
    <w:p>
      <w:pPr>
        <w:pStyle w:val="76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  <w:widowControl w:val="off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/ T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– значение натуральной нормы по затратам на приобретение особо ценного движимого имущества, рассчитанное как отношение количества единиц особо ценного имущества к среднему количеству участников мероприятий;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– стоимость особо ценного движимого имущества, руб.;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T</w:t>
      </w:r>
      <w:r>
        <w:rPr>
          <w:sz w:val="28"/>
          <w:szCs w:val="28"/>
          <w:vertAlign w:val="superscript"/>
        </w:rPr>
        <w:t xml:space="preserve">ОЦ</w:t>
      </w:r>
      <w:r>
        <w:rPr>
          <w:sz w:val="28"/>
          <w:szCs w:val="28"/>
        </w:rPr>
        <w:t xml:space="preserve"> – срок полезного использования вида особо ценного движимого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составе затрат на приобретение особо ценного движимого имущества учитываются расходы на приобретение светодиодного экрана.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</w:pPr>
      <w:r>
        <w:rPr>
          <w:sz w:val="28"/>
          <w:szCs w:val="28"/>
        </w:rPr>
        <w:t xml:space="preserve">Затраты на увеличение стоимости основных средств (N</w:t>
      </w:r>
      <w:r>
        <w:rPr>
          <w:sz w:val="28"/>
          <w:szCs w:val="28"/>
          <w:vertAlign w:val="superscript"/>
        </w:rPr>
        <w:t xml:space="preserve">ОС</w:t>
      </w:r>
      <w:r>
        <w:rPr>
          <w:sz w:val="28"/>
          <w:szCs w:val="28"/>
        </w:rPr>
        <w:t xml:space="preserve">) рассчитываются по следующей формуле:</w:t>
      </w:r>
      <w:r/>
    </w:p>
    <w:p>
      <w:pPr>
        <w:pStyle w:val="76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  <w:widowControl w:val="off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ОС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/ T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– значение натуральной нормы по затратам на увеличение стоимости основных средств, рассчитанное как отношение количества единиц основных средств </w:t>
      </w:r>
      <w:bookmarkStart w:id="16" w:name="undefined_Копия_15"/>
      <w:r>
        <w:rPr>
          <w:sz w:val="28"/>
          <w:szCs w:val="28"/>
        </w:rPr>
        <w:t xml:space="preserve">к среднему количеству участников мероприятий;</w:t>
      </w:r>
      <w:bookmarkEnd w:id="16"/>
      <w:r/>
      <w:r/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– стоимость основного средства, руб.;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T</w:t>
      </w:r>
      <w:r>
        <w:rPr>
          <w:sz w:val="28"/>
          <w:szCs w:val="28"/>
          <w:vertAlign w:val="subscript"/>
        </w:rPr>
        <w:t xml:space="preserve">ос</w:t>
      </w:r>
      <w:r>
        <w:rPr>
          <w:sz w:val="28"/>
          <w:szCs w:val="28"/>
        </w:rPr>
        <w:t xml:space="preserve"> – срок полезного использования основного средства.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составе затрат на увеличение стоимости основных средств учитываются расходы на приобретение кресла с подлокотником, многофункционального устройства, ноутбука, стола офисного, шкафа офисного, кафедры, шкафа гардеробного, легкового автомобиля.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widowControl w:val="off"/>
      </w:pPr>
      <w:r>
        <w:rPr>
          <w:sz w:val="28"/>
          <w:szCs w:val="28"/>
        </w:rPr>
        <w:t xml:space="preserve">Затраты на увеличение стоимости материальных запасов (N</w:t>
      </w:r>
      <w:r>
        <w:rPr>
          <w:sz w:val="28"/>
          <w:szCs w:val="28"/>
          <w:vertAlign w:val="superscript"/>
        </w:rPr>
        <w:t xml:space="preserve">МЗ</w:t>
      </w:r>
      <w:r>
        <w:rPr>
          <w:sz w:val="28"/>
          <w:szCs w:val="28"/>
        </w:rPr>
        <w:t xml:space="preserve">) рассчитываются по следующей формуле:</w:t>
      </w:r>
      <w:r/>
    </w:p>
    <w:p>
      <w:pPr>
        <w:pStyle w:val="76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center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МЗ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 xml:space="preserve">МЗ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perscript"/>
        </w:rPr>
        <w:t xml:space="preserve">МЗ</w:t>
      </w:r>
      <w:r>
        <w:rPr>
          <w:sz w:val="28"/>
          <w:szCs w:val="28"/>
        </w:rPr>
        <w:t xml:space="preserve"> x D</w:t>
      </w:r>
      <w:r>
        <w:rPr>
          <w:sz w:val="28"/>
          <w:szCs w:val="28"/>
          <w:vertAlign w:val="subscript"/>
        </w:rPr>
        <w:t xml:space="preserve">pd</w:t>
      </w:r>
      <w:r>
        <w:rPr>
          <w:sz w:val="28"/>
          <w:szCs w:val="28"/>
        </w:rPr>
        <w:t xml:space="preserve">, где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n</w:t>
      </w:r>
      <w:r>
        <w:rPr>
          <w:sz w:val="28"/>
          <w:szCs w:val="28"/>
          <w:vertAlign w:val="superscript"/>
        </w:rPr>
        <w:t xml:space="preserve">МЗ</w:t>
      </w:r>
      <w:r>
        <w:rPr>
          <w:sz w:val="28"/>
          <w:szCs w:val="28"/>
        </w:rPr>
        <w:t xml:space="preserve"> – значение натуральной нормы материальных запасов,</w:t>
      </w:r>
      <w:bookmarkStart w:id="17" w:name="undefined_Копия_16"/>
      <w:r>
        <w:rPr>
          <w:sz w:val="28"/>
          <w:szCs w:val="28"/>
        </w:rPr>
        <w:t xml:space="preserve"> рассчитанное как отношение количества единиц приобретаемого вида материального запаса к среднему количеству участников мероприятий;</w:t>
      </w:r>
      <w:bookmarkEnd w:id="17"/>
      <w:r/>
      <w:r/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R</w:t>
      </w:r>
      <w:r>
        <w:rPr>
          <w:sz w:val="28"/>
          <w:szCs w:val="28"/>
          <w:vertAlign w:val="superscript"/>
        </w:rPr>
        <w:t xml:space="preserve">МЗ</w:t>
      </w:r>
      <w:r>
        <w:rPr>
          <w:sz w:val="28"/>
          <w:szCs w:val="28"/>
        </w:rPr>
        <w:t xml:space="preserve"> – стоимость материальных запасов, руб.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составе затрат на увеличение стоимости материальных запасов учитываются расходы на приобретение бу</w:t>
      </w:r>
      <w:r>
        <w:rPr>
          <w:sz w:val="28"/>
          <w:szCs w:val="28"/>
        </w:rPr>
        <w:t xml:space="preserve">маги для офисной техники, батареек, ежедневников, клей-карандашей, клейкой ленты, ручек шариковых, флеш-памяти, бумаги туалетной, мешков для мусора, мыла жидкого, мыла туалетного, перчаток хозяйственных, чистящего средства универсального, топливных карт.».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 01 января 2027 г., но не ранее дня официального опубликования в печатном средстве массовой информации «Официальный</w:t>
      </w:r>
      <w:r>
        <w:rPr>
          <w:sz w:val="28"/>
          <w:szCs w:val="28"/>
        </w:rPr>
        <w:t xml:space="preserve"> бюллетень органов местного самоуправления муниципального образования город Пермь» и применяется при расчете объема финансового обеспечения выполнения муниципального задания, начиная с муниципального задания на 2027 год и плановый период 2028 и 2029 годов.</w:t>
      </w:r>
      <w:bookmarkStart w:id="18" w:name="undefined_Копия_17"/>
      <w:r/>
      <w:bookmarkEnd w:id="1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/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  <w:br/>
        <w:t xml:space="preserve">на исполняющего обязанности заместителя главы администрации города Перми Ершову О.С.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both"/>
        <w:spacing w:line="240" w:lineRule="exact"/>
        <w:tabs>
          <w:tab w:val="clear" w:pos="720" w:leader="none"/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  <w:tab/>
        <w:t xml:space="preserve">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Open Sans">
    <w:panose1 w:val="020B0606030504020204"/>
  </w:font>
  <w:font w:name="Courier New">
    <w:panose1 w:val="02070309020205020404"/>
  </w:font>
  <w:font w:name="Arial">
    <w:panose1 w:val="020B0604020202020204"/>
  </w:font>
  <w:font w:name="Segoe UI">
    <w:panose1 w:val="020B0503020204020204"/>
  </w:font>
  <w:font w:name="WenQuanYi Zen Hei Sharp">
    <w:panose1 w:val="02000603000000000000"/>
  </w:font>
  <w:font w:name="Droid Sans">
    <w:panose1 w:val="020B0606030804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6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3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34"/>
                            <w:rPr>
                              <w:rStyle w:val="801"/>
                            </w:rPr>
                          </w:pPr>
                          <w:r>
                            <w:rPr>
                              <w:rStyle w:val="80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1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1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1"/>
                            </w:rPr>
                          </w:r>
                          <w:r>
                            <w:rPr>
                              <w:rStyle w:val="801"/>
                            </w:rPr>
                          </w:r>
                        </w:p>
                      </w:txbxContent>
                    </wps:txbx>
                    <wps:bodyPr lIns="36360" tIns="36000" rIns="3636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34"/>
                      <w:rPr>
                        <w:rStyle w:val="801"/>
                      </w:rPr>
                    </w:pPr>
                    <w:r>
                      <w:rPr>
                        <w:rStyle w:val="801"/>
                        <w:color w:val="000000"/>
                      </w:rPr>
                      <w:fldChar w:fldCharType="begin"/>
                    </w:r>
                    <w:r>
                      <w:rPr>
                        <w:rStyle w:val="80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1"/>
                        <w:color w:val="000000"/>
                      </w:rPr>
                      <w:fldChar w:fldCharType="separate"/>
                    </w:r>
                    <w:r>
                      <w:rPr>
                        <w:rStyle w:val="801"/>
                        <w:color w:val="000000"/>
                      </w:rPr>
                      <w:t xml:space="preserve">0</w:t>
                    </w:r>
                    <w:r>
                      <w:rPr>
                        <w:rStyle w:val="801"/>
                        <w:color w:val="000000"/>
                      </w:rPr>
                      <w:fldChar w:fldCharType="end"/>
                    </w:r>
                    <w:r>
                      <w:rPr>
                        <w:rStyle w:val="801"/>
                      </w:rPr>
                    </w:r>
                    <w:r>
                      <w:rPr>
                        <w:rStyle w:val="801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WenQuanYi Zen Hei Sharp" w:cs="Droid Sans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4">
    <w:name w:val="Heading 3 Char"/>
    <w:basedOn w:val="778"/>
    <w:link w:val="771"/>
    <w:uiPriority w:val="9"/>
    <w:rPr>
      <w:rFonts w:ascii="Arial" w:hAnsi="Arial" w:eastAsia="Arial" w:cs="Arial"/>
      <w:sz w:val="30"/>
      <w:szCs w:val="30"/>
    </w:rPr>
  </w:style>
  <w:style w:type="character" w:styleId="755">
    <w:name w:val="Heading 4 Char"/>
    <w:basedOn w:val="778"/>
    <w:link w:val="772"/>
    <w:uiPriority w:val="9"/>
    <w:rPr>
      <w:rFonts w:ascii="Arial" w:hAnsi="Arial" w:eastAsia="Arial" w:cs="Arial"/>
      <w:b/>
      <w:bCs/>
      <w:sz w:val="26"/>
      <w:szCs w:val="26"/>
    </w:rPr>
  </w:style>
  <w:style w:type="character" w:styleId="756">
    <w:name w:val="Heading 5 Char"/>
    <w:basedOn w:val="778"/>
    <w:link w:val="773"/>
    <w:uiPriority w:val="9"/>
    <w:rPr>
      <w:rFonts w:ascii="Arial" w:hAnsi="Arial" w:eastAsia="Arial" w:cs="Arial"/>
      <w:b/>
      <w:bCs/>
      <w:sz w:val="24"/>
      <w:szCs w:val="24"/>
    </w:rPr>
  </w:style>
  <w:style w:type="character" w:styleId="757">
    <w:name w:val="Heading 6 Char"/>
    <w:basedOn w:val="778"/>
    <w:link w:val="774"/>
    <w:uiPriority w:val="9"/>
    <w:rPr>
      <w:rFonts w:ascii="Arial" w:hAnsi="Arial" w:eastAsia="Arial" w:cs="Arial"/>
      <w:b/>
      <w:bCs/>
      <w:sz w:val="22"/>
      <w:szCs w:val="22"/>
    </w:rPr>
  </w:style>
  <w:style w:type="character" w:styleId="758">
    <w:name w:val="Heading 7 Char"/>
    <w:basedOn w:val="778"/>
    <w:link w:val="7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9">
    <w:name w:val="Heading 8 Char"/>
    <w:basedOn w:val="778"/>
    <w:link w:val="776"/>
    <w:uiPriority w:val="9"/>
    <w:rPr>
      <w:rFonts w:ascii="Arial" w:hAnsi="Arial" w:eastAsia="Arial" w:cs="Arial"/>
      <w:i/>
      <w:iCs/>
      <w:sz w:val="22"/>
      <w:szCs w:val="22"/>
    </w:rPr>
  </w:style>
  <w:style w:type="character" w:styleId="760">
    <w:name w:val="Heading 9 Char"/>
    <w:basedOn w:val="778"/>
    <w:link w:val="777"/>
    <w:uiPriority w:val="9"/>
    <w:rPr>
      <w:rFonts w:ascii="Arial" w:hAnsi="Arial" w:eastAsia="Arial" w:cs="Arial"/>
      <w:i/>
      <w:iCs/>
      <w:sz w:val="21"/>
      <w:szCs w:val="21"/>
    </w:rPr>
  </w:style>
  <w:style w:type="character" w:styleId="761">
    <w:name w:val="Title Char"/>
    <w:basedOn w:val="778"/>
    <w:link w:val="813"/>
    <w:uiPriority w:val="10"/>
    <w:rPr>
      <w:sz w:val="48"/>
      <w:szCs w:val="48"/>
    </w:rPr>
  </w:style>
  <w:style w:type="character" w:styleId="762">
    <w:name w:val="Subtitle Char"/>
    <w:basedOn w:val="778"/>
    <w:link w:val="815"/>
    <w:uiPriority w:val="11"/>
    <w:rPr>
      <w:sz w:val="24"/>
      <w:szCs w:val="24"/>
    </w:rPr>
  </w:style>
  <w:style w:type="character" w:styleId="763">
    <w:name w:val="Quote Char"/>
    <w:link w:val="816"/>
    <w:uiPriority w:val="29"/>
    <w:rPr>
      <w:i/>
    </w:rPr>
  </w:style>
  <w:style w:type="character" w:styleId="764">
    <w:name w:val="Intense Quote Char"/>
    <w:link w:val="817"/>
    <w:uiPriority w:val="30"/>
    <w:rPr>
      <w:i/>
    </w:rPr>
  </w:style>
  <w:style w:type="character" w:styleId="765">
    <w:name w:val="Caption Char"/>
    <w:basedOn w:val="778"/>
    <w:link w:val="811"/>
    <w:uiPriority w:val="35"/>
    <w:rPr>
      <w:b/>
      <w:bCs/>
      <w:color w:val="4f81bd" w:themeColor="accent1"/>
      <w:sz w:val="18"/>
      <w:szCs w:val="18"/>
    </w:rPr>
  </w:style>
  <w:style w:type="character" w:styleId="766">
    <w:name w:val="Footnote Text Char"/>
    <w:link w:val="818"/>
    <w:uiPriority w:val="99"/>
    <w:rPr>
      <w:sz w:val="18"/>
    </w:rPr>
  </w:style>
  <w:style w:type="character" w:styleId="767">
    <w:name w:val="Endnote Text Char"/>
    <w:link w:val="819"/>
    <w:uiPriority w:val="99"/>
    <w:rPr>
      <w:sz w:val="20"/>
    </w:rPr>
  </w:style>
  <w:style w:type="paragraph" w:styleId="768" w:default="1">
    <w:name w:val="Normal"/>
    <w:qFormat/>
    <w:pPr>
      <w:jc w:val="left"/>
      <w:spacing w:before="0" w:after="0"/>
      <w:widowControl/>
    </w:pPr>
    <w:rPr>
      <w:rFonts w:ascii="Times New Roman" w:hAnsi="Times New Roman" w:eastAsia="WenQuanYi Zen Hei Sharp" w:cs="Droid Sans"/>
      <w:color w:val="auto"/>
      <w:sz w:val="20"/>
      <w:szCs w:val="20"/>
      <w:lang w:val="ru-RU" w:eastAsia="ru-RU" w:bidi="ar-SA"/>
    </w:rPr>
  </w:style>
  <w:style w:type="paragraph" w:styleId="769">
    <w:name w:val="Heading 1"/>
    <w:basedOn w:val="768"/>
    <w:next w:val="768"/>
    <w:qFormat/>
    <w:pPr>
      <w:ind w:right="-1" w:firstLine="709"/>
      <w:jc w:val="both"/>
      <w:keepNext/>
      <w:outlineLvl w:val="0"/>
    </w:pPr>
    <w:rPr>
      <w:sz w:val="24"/>
    </w:rPr>
  </w:style>
  <w:style w:type="paragraph" w:styleId="770">
    <w:name w:val="Heading 2"/>
    <w:basedOn w:val="768"/>
    <w:next w:val="768"/>
    <w:qFormat/>
    <w:pPr>
      <w:ind w:right="-1"/>
      <w:jc w:val="both"/>
      <w:keepNext/>
      <w:outlineLvl w:val="1"/>
    </w:pPr>
    <w:rPr>
      <w:sz w:val="24"/>
    </w:rPr>
  </w:style>
  <w:style w:type="paragraph" w:styleId="771">
    <w:name w:val="Heading 3"/>
    <w:basedOn w:val="768"/>
    <w:next w:val="768"/>
    <w:link w:val="7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2">
    <w:name w:val="Heading 4"/>
    <w:basedOn w:val="768"/>
    <w:next w:val="768"/>
    <w:link w:val="7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3">
    <w:name w:val="Heading 5"/>
    <w:basedOn w:val="768"/>
    <w:next w:val="768"/>
    <w:link w:val="7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4">
    <w:name w:val="Heading 6"/>
    <w:basedOn w:val="768"/>
    <w:next w:val="768"/>
    <w:link w:val="78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5">
    <w:name w:val="Heading 7"/>
    <w:basedOn w:val="768"/>
    <w:next w:val="768"/>
    <w:link w:val="7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6">
    <w:name w:val="Heading 8"/>
    <w:basedOn w:val="768"/>
    <w:next w:val="768"/>
    <w:link w:val="7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7">
    <w:name w:val="Heading 9"/>
    <w:basedOn w:val="768"/>
    <w:next w:val="768"/>
    <w:link w:val="7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8" w:default="1">
    <w:name w:val="Default Paragraph Font"/>
    <w:uiPriority w:val="1"/>
    <w:semiHidden/>
    <w:unhideWhenUsed/>
    <w:qFormat/>
  </w:style>
  <w:style w:type="character" w:styleId="779" w:customStyle="1">
    <w:name w:val="Heading 1 Char"/>
    <w:basedOn w:val="778"/>
    <w:uiPriority w:val="9"/>
    <w:qFormat/>
    <w:rPr>
      <w:rFonts w:ascii="Arial" w:hAnsi="Arial" w:eastAsia="Arial" w:cs="Arial"/>
      <w:sz w:val="40"/>
      <w:szCs w:val="40"/>
    </w:rPr>
  </w:style>
  <w:style w:type="character" w:styleId="780" w:customStyle="1">
    <w:name w:val="Heading 2 Char"/>
    <w:basedOn w:val="778"/>
    <w:uiPriority w:val="9"/>
    <w:qFormat/>
    <w:rPr>
      <w:rFonts w:ascii="Arial" w:hAnsi="Arial" w:eastAsia="Arial" w:cs="Arial"/>
      <w:sz w:val="34"/>
    </w:rPr>
  </w:style>
  <w:style w:type="character" w:styleId="781" w:customStyle="1">
    <w:name w:val="Заголовок 3 Знак"/>
    <w:basedOn w:val="778"/>
    <w:uiPriority w:val="9"/>
    <w:qFormat/>
    <w:rPr>
      <w:rFonts w:ascii="Arial" w:hAnsi="Arial" w:eastAsia="Arial" w:cs="Arial"/>
      <w:sz w:val="30"/>
      <w:szCs w:val="30"/>
    </w:rPr>
  </w:style>
  <w:style w:type="character" w:styleId="782" w:customStyle="1">
    <w:name w:val="Заголовок 4 Знак"/>
    <w:basedOn w:val="77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3" w:customStyle="1">
    <w:name w:val="Заголовок 5 Знак"/>
    <w:basedOn w:val="77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84" w:customStyle="1">
    <w:name w:val="Заголовок 6 Знак"/>
    <w:basedOn w:val="77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85" w:customStyle="1">
    <w:name w:val="Заголовок 7 Знак"/>
    <w:basedOn w:val="77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6" w:customStyle="1">
    <w:name w:val="Заголовок 8 Знак"/>
    <w:basedOn w:val="77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87" w:customStyle="1">
    <w:name w:val="Заголовок 9 Знак"/>
    <w:basedOn w:val="77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88" w:customStyle="1">
    <w:name w:val="Заголовок Знак"/>
    <w:basedOn w:val="778"/>
    <w:uiPriority w:val="10"/>
    <w:qFormat/>
    <w:rPr>
      <w:sz w:val="48"/>
      <w:szCs w:val="48"/>
    </w:rPr>
  </w:style>
  <w:style w:type="character" w:styleId="789" w:customStyle="1">
    <w:name w:val="Подзаголовок Знак"/>
    <w:basedOn w:val="778"/>
    <w:uiPriority w:val="11"/>
    <w:qFormat/>
    <w:rPr>
      <w:sz w:val="24"/>
      <w:szCs w:val="24"/>
    </w:rPr>
  </w:style>
  <w:style w:type="character" w:styleId="790" w:customStyle="1">
    <w:name w:val="Цитата 2 Знак"/>
    <w:link w:val="816"/>
    <w:uiPriority w:val="29"/>
    <w:qFormat/>
    <w:rPr>
      <w:i/>
    </w:rPr>
  </w:style>
  <w:style w:type="character" w:styleId="791" w:customStyle="1">
    <w:name w:val="Выделенная цитата Знак"/>
    <w:link w:val="817"/>
    <w:uiPriority w:val="30"/>
    <w:qFormat/>
    <w:rPr>
      <w:i/>
    </w:rPr>
  </w:style>
  <w:style w:type="character" w:styleId="792" w:customStyle="1">
    <w:name w:val="Header Char"/>
    <w:basedOn w:val="778"/>
    <w:uiPriority w:val="99"/>
    <w:qFormat/>
  </w:style>
  <w:style w:type="character" w:styleId="793" w:customStyle="1">
    <w:name w:val="Footer Char"/>
    <w:basedOn w:val="778"/>
    <w:uiPriority w:val="99"/>
    <w:qFormat/>
  </w:style>
  <w:style w:type="character" w:styleId="794" w:customStyle="1">
    <w:name w:val="Название объекта Знак"/>
    <w:basedOn w:val="778"/>
    <w:uiPriority w:val="35"/>
    <w:qFormat/>
    <w:rPr>
      <w:b/>
      <w:bCs/>
      <w:color w:val="5b9bd5" w:themeColor="accent1"/>
      <w:sz w:val="18"/>
      <w:szCs w:val="18"/>
    </w:rPr>
  </w:style>
  <w:style w:type="character" w:styleId="795" w:customStyle="1">
    <w:name w:val="Текст сноски Знак"/>
    <w:uiPriority w:val="99"/>
    <w:qFormat/>
    <w:rPr>
      <w:sz w:val="18"/>
    </w:rPr>
  </w:style>
  <w:style w:type="character" w:styleId="796" w:customStyle="1">
    <w:name w:val="Символ сноски"/>
    <w:uiPriority w:val="99"/>
    <w:unhideWhenUsed/>
    <w:qFormat/>
    <w:rPr>
      <w:vertAlign w:val="superscript"/>
    </w:rPr>
  </w:style>
  <w:style w:type="character" w:styleId="797">
    <w:name w:val="footnote reference"/>
    <w:rPr>
      <w:vertAlign w:val="superscript"/>
    </w:rPr>
  </w:style>
  <w:style w:type="character" w:styleId="798" w:customStyle="1">
    <w:name w:val="Текст концевой сноски Знак"/>
    <w:uiPriority w:val="99"/>
    <w:qFormat/>
    <w:rPr>
      <w:sz w:val="20"/>
    </w:rPr>
  </w:style>
  <w:style w:type="character" w:styleId="799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00">
    <w:name w:val="endnote reference"/>
    <w:rPr>
      <w:vertAlign w:val="superscript"/>
    </w:rPr>
  </w:style>
  <w:style w:type="character" w:styleId="801">
    <w:name w:val="page number"/>
    <w:basedOn w:val="778"/>
  </w:style>
  <w:style w:type="character" w:styleId="802" w:customStyle="1">
    <w:name w:val="Текст выноски Знак"/>
    <w:link w:val="835"/>
    <w:uiPriority w:val="99"/>
    <w:qFormat/>
    <w:rPr>
      <w:rFonts w:ascii="Segoe UI" w:hAnsi="Segoe UI" w:cs="Segoe UI"/>
      <w:sz w:val="18"/>
      <w:szCs w:val="18"/>
    </w:rPr>
  </w:style>
  <w:style w:type="character" w:styleId="803" w:customStyle="1">
    <w:name w:val="Верхний колонтитул Знак"/>
    <w:uiPriority w:val="99"/>
    <w:qFormat/>
  </w:style>
  <w:style w:type="character" w:styleId="804">
    <w:name w:val="Hyperlink"/>
    <w:uiPriority w:val="99"/>
    <w:unhideWhenUsed/>
    <w:rPr>
      <w:color w:val="0000ff"/>
      <w:u w:val="single"/>
    </w:rPr>
  </w:style>
  <w:style w:type="character" w:styleId="805">
    <w:name w:val="FollowedHyperlink"/>
    <w:uiPriority w:val="99"/>
    <w:unhideWhenUsed/>
    <w:rPr>
      <w:color w:val="800080"/>
      <w:u w:val="single"/>
    </w:rPr>
  </w:style>
  <w:style w:type="character" w:styleId="806" w:customStyle="1">
    <w:name w:val="Основной текст Знак"/>
    <w:qFormat/>
    <w:rPr>
      <w:rFonts w:ascii="Courier New" w:hAnsi="Courier New"/>
      <w:sz w:val="26"/>
    </w:rPr>
  </w:style>
  <w:style w:type="character" w:styleId="807" w:customStyle="1">
    <w:name w:val="Нижний колонтитул Знак"/>
    <w:uiPriority w:val="99"/>
    <w:qFormat/>
  </w:style>
  <w:style w:type="paragraph" w:styleId="808">
    <w:name w:val="Заголовок"/>
    <w:basedOn w:val="768"/>
    <w:next w:val="809"/>
    <w:qFormat/>
    <w:pPr>
      <w:keepNext/>
      <w:spacing w:before="240" w:after="120"/>
    </w:pPr>
    <w:rPr>
      <w:rFonts w:ascii="Open Sans" w:hAnsi="Open Sans" w:eastAsia="WenQuanYi Zen Hei Sharp" w:cs="Droid Sans"/>
      <w:sz w:val="28"/>
      <w:szCs w:val="28"/>
    </w:rPr>
  </w:style>
  <w:style w:type="paragraph" w:styleId="809">
    <w:name w:val="Body Text"/>
    <w:basedOn w:val="768"/>
    <w:link w:val="806"/>
    <w:pPr>
      <w:ind w:right="3117"/>
    </w:pPr>
    <w:rPr>
      <w:rFonts w:ascii="Courier New" w:hAnsi="Courier New"/>
      <w:sz w:val="26"/>
    </w:rPr>
  </w:style>
  <w:style w:type="paragraph" w:styleId="810">
    <w:name w:val="List"/>
    <w:basedOn w:val="809"/>
  </w:style>
  <w:style w:type="paragraph" w:styleId="811">
    <w:name w:val="Caption"/>
    <w:basedOn w:val="768"/>
    <w:next w:val="768"/>
    <w:link w:val="794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12">
    <w:name w:val="Указатель"/>
    <w:basedOn w:val="768"/>
    <w:qFormat/>
    <w:pPr>
      <w:suppressLineNumbers/>
    </w:pPr>
    <w:rPr>
      <w:rFonts w:cs="Droid Sans"/>
    </w:rPr>
  </w:style>
  <w:style w:type="paragraph" w:styleId="813">
    <w:name w:val="Title"/>
    <w:basedOn w:val="768"/>
    <w:next w:val="809"/>
    <w:link w:val="78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14">
    <w:name w:val="index heading"/>
    <w:basedOn w:val="813"/>
  </w:style>
  <w:style w:type="paragraph" w:styleId="815">
    <w:name w:val="Subtitle"/>
    <w:basedOn w:val="768"/>
    <w:next w:val="768"/>
    <w:link w:val="789"/>
    <w:uiPriority w:val="11"/>
    <w:qFormat/>
    <w:pPr>
      <w:spacing w:before="200" w:after="200"/>
    </w:pPr>
    <w:rPr>
      <w:sz w:val="24"/>
      <w:szCs w:val="24"/>
    </w:rPr>
  </w:style>
  <w:style w:type="paragraph" w:styleId="816">
    <w:name w:val="Quote"/>
    <w:basedOn w:val="768"/>
    <w:next w:val="768"/>
    <w:link w:val="790"/>
    <w:uiPriority w:val="29"/>
    <w:qFormat/>
    <w:pPr>
      <w:ind w:left="720" w:right="720"/>
    </w:pPr>
    <w:rPr>
      <w:i/>
    </w:rPr>
  </w:style>
  <w:style w:type="paragraph" w:styleId="817">
    <w:name w:val="Intense Quote"/>
    <w:basedOn w:val="768"/>
    <w:next w:val="768"/>
    <w:link w:val="79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18">
    <w:name w:val="footnote text"/>
    <w:basedOn w:val="768"/>
    <w:link w:val="795"/>
    <w:uiPriority w:val="99"/>
    <w:semiHidden/>
    <w:unhideWhenUsed/>
    <w:pPr>
      <w:spacing w:before="0" w:after="40"/>
    </w:pPr>
    <w:rPr>
      <w:sz w:val="18"/>
    </w:rPr>
  </w:style>
  <w:style w:type="paragraph" w:styleId="819">
    <w:name w:val="endnote text"/>
    <w:basedOn w:val="768"/>
    <w:link w:val="798"/>
    <w:uiPriority w:val="99"/>
    <w:semiHidden/>
    <w:unhideWhenUsed/>
  </w:style>
  <w:style w:type="paragraph" w:styleId="820">
    <w:name w:val="toc 1"/>
    <w:basedOn w:val="768"/>
    <w:next w:val="768"/>
    <w:uiPriority w:val="39"/>
    <w:unhideWhenUsed/>
    <w:pPr>
      <w:spacing w:before="0" w:after="57"/>
    </w:pPr>
  </w:style>
  <w:style w:type="paragraph" w:styleId="821">
    <w:name w:val="toc 2"/>
    <w:basedOn w:val="768"/>
    <w:next w:val="768"/>
    <w:uiPriority w:val="39"/>
    <w:unhideWhenUsed/>
    <w:pPr>
      <w:ind w:left="283"/>
      <w:spacing w:before="0" w:after="57"/>
    </w:pPr>
  </w:style>
  <w:style w:type="paragraph" w:styleId="822">
    <w:name w:val="toc 3"/>
    <w:basedOn w:val="768"/>
    <w:next w:val="768"/>
    <w:uiPriority w:val="39"/>
    <w:unhideWhenUsed/>
    <w:pPr>
      <w:ind w:left="567"/>
      <w:spacing w:before="0" w:after="57"/>
    </w:pPr>
  </w:style>
  <w:style w:type="paragraph" w:styleId="823">
    <w:name w:val="toc 4"/>
    <w:basedOn w:val="768"/>
    <w:next w:val="768"/>
    <w:uiPriority w:val="39"/>
    <w:unhideWhenUsed/>
    <w:pPr>
      <w:ind w:left="850"/>
      <w:spacing w:before="0" w:after="57"/>
    </w:pPr>
  </w:style>
  <w:style w:type="paragraph" w:styleId="824">
    <w:name w:val="toc 5"/>
    <w:basedOn w:val="768"/>
    <w:next w:val="768"/>
    <w:uiPriority w:val="39"/>
    <w:unhideWhenUsed/>
    <w:pPr>
      <w:ind w:left="1134"/>
      <w:spacing w:before="0" w:after="57"/>
    </w:pPr>
  </w:style>
  <w:style w:type="paragraph" w:styleId="825">
    <w:name w:val="toc 6"/>
    <w:basedOn w:val="768"/>
    <w:next w:val="768"/>
    <w:uiPriority w:val="39"/>
    <w:unhideWhenUsed/>
    <w:pPr>
      <w:ind w:left="1417"/>
      <w:spacing w:before="0" w:after="57"/>
    </w:pPr>
  </w:style>
  <w:style w:type="paragraph" w:styleId="826">
    <w:name w:val="toc 7"/>
    <w:basedOn w:val="768"/>
    <w:next w:val="768"/>
    <w:uiPriority w:val="39"/>
    <w:unhideWhenUsed/>
    <w:pPr>
      <w:ind w:left="1701"/>
      <w:spacing w:before="0" w:after="57"/>
    </w:pPr>
  </w:style>
  <w:style w:type="paragraph" w:styleId="827">
    <w:name w:val="toc 8"/>
    <w:basedOn w:val="768"/>
    <w:next w:val="768"/>
    <w:uiPriority w:val="39"/>
    <w:unhideWhenUsed/>
    <w:pPr>
      <w:ind w:left="1984"/>
      <w:spacing w:before="0" w:after="57"/>
    </w:pPr>
  </w:style>
  <w:style w:type="paragraph" w:styleId="828">
    <w:name w:val="toc 9"/>
    <w:basedOn w:val="768"/>
    <w:next w:val="768"/>
    <w:uiPriority w:val="39"/>
    <w:unhideWhenUsed/>
    <w:pPr>
      <w:ind w:left="2268"/>
      <w:spacing w:before="0" w:after="57"/>
    </w:pPr>
  </w:style>
  <w:style w:type="paragraph" w:styleId="829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WenQuanYi Zen Hei Sharp" w:cs="Droid Sans"/>
      <w:color w:val="auto"/>
      <w:sz w:val="20"/>
      <w:szCs w:val="20"/>
      <w:lang w:val="ru-RU" w:eastAsia="ru-RU" w:bidi="ar-SA"/>
    </w:rPr>
  </w:style>
  <w:style w:type="paragraph" w:styleId="830">
    <w:name w:val="table of figures"/>
    <w:basedOn w:val="768"/>
    <w:next w:val="768"/>
    <w:uiPriority w:val="99"/>
    <w:unhideWhenUsed/>
  </w:style>
  <w:style w:type="paragraph" w:styleId="831">
    <w:name w:val="Body Text Indent"/>
    <w:basedOn w:val="768"/>
    <w:pPr>
      <w:ind w:right="-1"/>
      <w:jc w:val="both"/>
    </w:pPr>
    <w:rPr>
      <w:sz w:val="26"/>
    </w:rPr>
  </w:style>
  <w:style w:type="paragraph" w:styleId="832" w:customStyle="1">
    <w:name w:val="Header and Footer"/>
    <w:basedOn w:val="768"/>
    <w:qFormat/>
  </w:style>
  <w:style w:type="paragraph" w:styleId="833">
    <w:name w:val="Footer"/>
    <w:basedOn w:val="768"/>
    <w:link w:val="807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34">
    <w:name w:val="Header"/>
    <w:basedOn w:val="768"/>
    <w:link w:val="803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35">
    <w:name w:val="Balloon Text"/>
    <w:basedOn w:val="768"/>
    <w:link w:val="802"/>
    <w:uiPriority w:val="99"/>
    <w:qFormat/>
    <w:rPr>
      <w:rFonts w:ascii="Segoe UI" w:hAnsi="Segoe UI" w:cs="Segoe UI"/>
      <w:sz w:val="18"/>
      <w:szCs w:val="18"/>
    </w:rPr>
  </w:style>
  <w:style w:type="paragraph" w:styleId="836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Droid Sans"/>
      <w:color w:val="auto"/>
      <w:sz w:val="22"/>
      <w:szCs w:val="22"/>
      <w:lang w:val="ru-RU" w:eastAsia="en-US" w:bidi="ar-SA"/>
    </w:rPr>
  </w:style>
  <w:style w:type="paragraph" w:styleId="837" w:customStyle="1">
    <w:name w:val="xl65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38" w:customStyle="1">
    <w:name w:val="xl66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39" w:customStyle="1">
    <w:name w:val="xl67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40" w:customStyle="1">
    <w:name w:val="xl68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41" w:customStyle="1">
    <w:name w:val="xl69"/>
    <w:basedOn w:val="768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2" w:customStyle="1">
    <w:name w:val="xl70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43" w:customStyle="1">
    <w:name w:val="xl71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4" w:customStyle="1">
    <w:name w:val="xl72"/>
    <w:basedOn w:val="768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5" w:customStyle="1">
    <w:name w:val="xl73"/>
    <w:basedOn w:val="768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46" w:customStyle="1">
    <w:name w:val="xl74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7" w:customStyle="1">
    <w:name w:val="xl75"/>
    <w:basedOn w:val="768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8" w:customStyle="1">
    <w:name w:val="xl76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49" w:customStyle="1">
    <w:name w:val="xl77"/>
    <w:basedOn w:val="768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0" w:customStyle="1">
    <w:name w:val="xl78"/>
    <w:basedOn w:val="768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51" w:customStyle="1">
    <w:name w:val="xl79"/>
    <w:basedOn w:val="768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2" w:customStyle="1">
    <w:name w:val="Форма"/>
    <w:qFormat/>
    <w:pPr>
      <w:jc w:val="left"/>
      <w:spacing w:before="0" w:after="0"/>
      <w:widowControl/>
    </w:pPr>
    <w:rPr>
      <w:rFonts w:ascii="Times New Roman" w:hAnsi="Times New Roman" w:eastAsia="WenQuanYi Zen Hei Sharp" w:cs="Droid Sans"/>
      <w:color w:val="auto"/>
      <w:sz w:val="28"/>
      <w:szCs w:val="28"/>
      <w:lang w:val="ru-RU" w:eastAsia="ru-RU" w:bidi="ar-SA"/>
    </w:rPr>
  </w:style>
  <w:style w:type="paragraph" w:styleId="853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WenQuanYi Zen Hei Sharp" w:cs="Droid Sans"/>
      <w:color w:val="auto"/>
      <w:sz w:val="28"/>
      <w:szCs w:val="28"/>
      <w:lang w:val="ru-RU" w:eastAsia="ru-RU" w:bidi="ar-SA"/>
    </w:rPr>
  </w:style>
  <w:style w:type="paragraph" w:styleId="854" w:customStyle="1">
    <w:name w:val="font5"/>
    <w:basedOn w:val="768"/>
    <w:qFormat/>
    <w:pPr>
      <w:spacing w:beforeAutospacing="1" w:afterAutospacing="1"/>
    </w:pPr>
    <w:rPr>
      <w:color w:val="000000"/>
      <w:sz w:val="28"/>
      <w:szCs w:val="28"/>
    </w:rPr>
  </w:style>
  <w:style w:type="paragraph" w:styleId="855" w:customStyle="1">
    <w:name w:val="xl80"/>
    <w:basedOn w:val="768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856" w:customStyle="1">
    <w:name w:val="xl81"/>
    <w:basedOn w:val="768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857" w:customStyle="1">
    <w:name w:val="xl82"/>
    <w:basedOn w:val="768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858" w:customStyle="1">
    <w:name w:val="xl83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59" w:customStyle="1">
    <w:name w:val="xl84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0" w:customStyle="1">
    <w:name w:val="xl85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61" w:customStyle="1">
    <w:name w:val="xl86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62" w:customStyle="1">
    <w:name w:val="xl87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63" w:customStyle="1">
    <w:name w:val="xl88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64" w:customStyle="1">
    <w:name w:val="xl89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5" w:customStyle="1">
    <w:name w:val="xl90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6" w:customStyle="1">
    <w:name w:val="xl91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7" w:customStyle="1">
    <w:name w:val="xl92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68" w:customStyle="1">
    <w:name w:val="xl93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69" w:customStyle="1">
    <w:name w:val="xl94"/>
    <w:basedOn w:val="768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0" w:customStyle="1">
    <w:name w:val="xl95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1" w:customStyle="1">
    <w:name w:val="xl96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2" w:customStyle="1">
    <w:name w:val="xl97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73" w:customStyle="1">
    <w:name w:val="xl98"/>
    <w:basedOn w:val="768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874" w:customStyle="1">
    <w:name w:val="xl99"/>
    <w:basedOn w:val="768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5" w:customStyle="1">
    <w:name w:val="xl100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6" w:customStyle="1">
    <w:name w:val="xl101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7" w:customStyle="1">
    <w:name w:val="xl102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8" w:customStyle="1">
    <w:name w:val="xl103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9" w:customStyle="1">
    <w:name w:val="xl104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0" w:customStyle="1">
    <w:name w:val="xl105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1" w:customStyle="1">
    <w:name w:val="xl106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882" w:customStyle="1">
    <w:name w:val="xl107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3" w:customStyle="1">
    <w:name w:val="xl108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4" w:customStyle="1">
    <w:name w:val="xl109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5" w:customStyle="1">
    <w:name w:val="xl110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6" w:customStyle="1">
    <w:name w:val="xl111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7" w:customStyle="1">
    <w:name w:val="xl112"/>
    <w:basedOn w:val="768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888" w:customStyle="1">
    <w:name w:val="xl113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9" w:customStyle="1">
    <w:name w:val="xl114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0" w:customStyle="1">
    <w:name w:val="xl115"/>
    <w:basedOn w:val="768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891" w:customStyle="1">
    <w:name w:val="xl116"/>
    <w:basedOn w:val="768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2" w:customStyle="1">
    <w:name w:val="xl117"/>
    <w:basedOn w:val="768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3" w:customStyle="1">
    <w:name w:val="xl118"/>
    <w:basedOn w:val="768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4" w:customStyle="1">
    <w:name w:val="xl119"/>
    <w:basedOn w:val="768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5" w:customStyle="1">
    <w:name w:val="xl120"/>
    <w:basedOn w:val="768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96" w:customStyle="1">
    <w:name w:val="xl121"/>
    <w:basedOn w:val="768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97" w:customStyle="1">
    <w:name w:val="xl122"/>
    <w:basedOn w:val="768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8" w:customStyle="1">
    <w:name w:val="xl123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99" w:customStyle="1">
    <w:name w:val="xl124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00" w:customStyle="1">
    <w:name w:val="xl125"/>
    <w:basedOn w:val="768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1" w:customStyle="1">
    <w:name w:val="font6"/>
    <w:basedOn w:val="768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902" w:customStyle="1">
    <w:name w:val="font7"/>
    <w:basedOn w:val="768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903" w:customStyle="1">
    <w:name w:val="font8"/>
    <w:basedOn w:val="768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904">
    <w:name w:val="List Paragraph"/>
    <w:basedOn w:val="768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905" w:customStyle="1">
    <w:name w:val="Содержимое врезки"/>
    <w:basedOn w:val="768"/>
    <w:qFormat/>
  </w:style>
  <w:style w:type="numbering" w:styleId="906" w:customStyle="1">
    <w:name w:val="Без списка"/>
    <w:semiHidden/>
    <w:qFormat/>
  </w:style>
  <w:style w:type="numbering" w:styleId="907" w:customStyle="1">
    <w:name w:val="Нет списка1"/>
    <w:uiPriority w:val="99"/>
    <w:semiHidden/>
    <w:unhideWhenUsed/>
    <w:qFormat/>
  </w:style>
  <w:style w:type="numbering" w:styleId="908" w:customStyle="1">
    <w:name w:val="Нет списка11"/>
    <w:uiPriority w:val="99"/>
    <w:semiHidden/>
    <w:unhideWhenUsed/>
    <w:qFormat/>
  </w:style>
  <w:style w:type="numbering" w:styleId="909" w:customStyle="1">
    <w:name w:val="Нет списка111"/>
    <w:uiPriority w:val="99"/>
    <w:semiHidden/>
    <w:unhideWhenUsed/>
    <w:qFormat/>
  </w:style>
  <w:style w:type="numbering" w:styleId="910" w:customStyle="1">
    <w:name w:val="Нет списка2"/>
    <w:uiPriority w:val="99"/>
    <w:semiHidden/>
    <w:unhideWhenUsed/>
    <w:qFormat/>
  </w:style>
  <w:style w:type="numbering" w:styleId="911" w:customStyle="1">
    <w:name w:val="Нет списка3"/>
    <w:uiPriority w:val="99"/>
    <w:semiHidden/>
    <w:unhideWhenUsed/>
    <w:qFormat/>
  </w:style>
  <w:style w:type="numbering" w:styleId="912" w:customStyle="1">
    <w:name w:val="Нет списка4"/>
    <w:uiPriority w:val="99"/>
    <w:semiHidden/>
    <w:unhideWhenUsed/>
    <w:qFormat/>
  </w:style>
  <w:style w:type="table" w:styleId="91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14" w:customStyle="1">
    <w:name w:val="Table Grid Light"/>
    <w:basedOn w:val="91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15">
    <w:name w:val="Plain Table 1"/>
    <w:basedOn w:val="91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16">
    <w:name w:val="Plain Table 2"/>
    <w:basedOn w:val="91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17">
    <w:name w:val="Plain Table 3"/>
    <w:basedOn w:val="91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18">
    <w:name w:val="Plain Table 4"/>
    <w:basedOn w:val="91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19">
    <w:name w:val="Plain Table 5"/>
    <w:basedOn w:val="91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20">
    <w:name w:val="Grid Table 1 Light"/>
    <w:basedOn w:val="91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 w:customStyle="1">
    <w:name w:val="Grid Table 1 Light - Accent 1"/>
    <w:basedOn w:val="91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Grid Table 1 Light - Accent 2"/>
    <w:basedOn w:val="91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 w:customStyle="1">
    <w:name w:val="Grid Table 1 Light - Accent 3"/>
    <w:basedOn w:val="91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 w:customStyle="1">
    <w:name w:val="Grid Table 1 Light - Accent 4"/>
    <w:basedOn w:val="91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 w:customStyle="1">
    <w:name w:val="Grid Table 1 Light - Accent 5"/>
    <w:basedOn w:val="91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 w:customStyle="1">
    <w:name w:val="Grid Table 1 Light - Accent 6"/>
    <w:basedOn w:val="91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>
    <w:name w:val="Grid Table 2"/>
    <w:basedOn w:val="91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Grid Table 2 - Accent 1"/>
    <w:basedOn w:val="91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2 - Accent 2"/>
    <w:basedOn w:val="91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2 - Accent 3"/>
    <w:basedOn w:val="91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Grid Table 2 - Accent 4"/>
    <w:basedOn w:val="91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Grid Table 2 - Accent 5"/>
    <w:basedOn w:val="91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Grid Table 2 - Accent 6"/>
    <w:basedOn w:val="91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Grid Table 3"/>
    <w:basedOn w:val="91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Grid Table 3 - Accent 1"/>
    <w:basedOn w:val="91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Grid Table 3 - Accent 2"/>
    <w:basedOn w:val="91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Grid Table 3 - Accent 3"/>
    <w:basedOn w:val="91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Grid Table 3 - Accent 4"/>
    <w:basedOn w:val="91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Grid Table 3 - Accent 5"/>
    <w:basedOn w:val="91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Grid Table 3 - Accent 6"/>
    <w:basedOn w:val="91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>
    <w:name w:val="Grid Table 4"/>
    <w:basedOn w:val="91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42" w:customStyle="1">
    <w:name w:val="Grid Table 4 - Accent 1"/>
    <w:basedOn w:val="913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943" w:customStyle="1">
    <w:name w:val="Grid Table 4 - Accent 2"/>
    <w:basedOn w:val="913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944" w:customStyle="1">
    <w:name w:val="Grid Table 4 - Accent 3"/>
    <w:basedOn w:val="91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945" w:customStyle="1">
    <w:name w:val="Grid Table 4 - Accent 4"/>
    <w:basedOn w:val="913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946" w:customStyle="1">
    <w:name w:val="Grid Table 4 - Accent 5"/>
    <w:basedOn w:val="913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947" w:customStyle="1">
    <w:name w:val="Grid Table 4 - Accent 6"/>
    <w:basedOn w:val="913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948">
    <w:name w:val="Grid Table 5 Dark"/>
    <w:basedOn w:val="9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949" w:customStyle="1">
    <w:name w:val="Grid Table 5 Dark- Accent 1"/>
    <w:basedOn w:val="9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950" w:customStyle="1">
    <w:name w:val="Grid Table 5 Dark - Accent 2"/>
    <w:basedOn w:val="9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951" w:customStyle="1">
    <w:name w:val="Grid Table 5 Dark - Accent 3"/>
    <w:basedOn w:val="9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952" w:customStyle="1">
    <w:name w:val="Grid Table 5 Dark- Accent 4"/>
    <w:basedOn w:val="9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953" w:customStyle="1">
    <w:name w:val="Grid Table 5 Dark - Accent 5"/>
    <w:basedOn w:val="9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954" w:customStyle="1">
    <w:name w:val="Grid Table 5 Dark - Accent 6"/>
    <w:basedOn w:val="9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955">
    <w:name w:val="Grid Table 6 Colorful"/>
    <w:basedOn w:val="91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956" w:customStyle="1">
    <w:name w:val="Grid Table 6 Colorful - Accent 1"/>
    <w:basedOn w:val="913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</w:style>
  <w:style w:type="table" w:styleId="957" w:customStyle="1">
    <w:name w:val="Grid Table 6 Colorful - Accent 2"/>
    <w:basedOn w:val="91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</w:style>
  <w:style w:type="table" w:styleId="958" w:customStyle="1">
    <w:name w:val="Grid Table 6 Colorful - Accent 3"/>
    <w:basedOn w:val="91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</w:style>
  <w:style w:type="table" w:styleId="959" w:customStyle="1">
    <w:name w:val="Grid Table 6 Colorful - Accent 4"/>
    <w:basedOn w:val="91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</w:style>
  <w:style w:type="table" w:styleId="960" w:customStyle="1">
    <w:name w:val="Grid Table 6 Colorful - Accent 5"/>
    <w:basedOn w:val="913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961" w:customStyle="1">
    <w:name w:val="Grid Table 6 Colorful - Accent 6"/>
    <w:basedOn w:val="913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962">
    <w:name w:val="Grid Table 7 Colorful"/>
    <w:basedOn w:val="91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Grid Table 7 Colorful - Accent 1"/>
    <w:basedOn w:val="913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Grid Table 7 Colorful - Accent 2"/>
    <w:basedOn w:val="913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Grid Table 7 Colorful - Accent 3"/>
    <w:basedOn w:val="91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 w:customStyle="1">
    <w:name w:val="Grid Table 7 Colorful - Accent 4"/>
    <w:basedOn w:val="913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 w:customStyle="1">
    <w:name w:val="Grid Table 7 Colorful - Accent 5"/>
    <w:basedOn w:val="913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 w:customStyle="1">
    <w:name w:val="Grid Table 7 Colorful - Accent 6"/>
    <w:basedOn w:val="913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>
    <w:name w:val="List Table 1 Light"/>
    <w:basedOn w:val="913"/>
    <w:uiPriority w:val="99"/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 w:customStyle="1">
    <w:name w:val="List Table 1 Light - Accent 1"/>
    <w:basedOn w:val="913"/>
    <w:uiPriority w:val="99"/>
    <w:tblPr>
      <w:tblStyleRowBandSize w:val="1"/>
      <w:tblStyleColBandSize w:val="1"/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1" w:customStyle="1">
    <w:name w:val="List Table 1 Light - Accent 2"/>
    <w:basedOn w:val="913"/>
    <w:uiPriority w:val="99"/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 w:customStyle="1">
    <w:name w:val="List Table 1 Light - Accent 3"/>
    <w:basedOn w:val="913"/>
    <w:uiPriority w:val="99"/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 w:customStyle="1">
    <w:name w:val="List Table 1 Light - Accent 4"/>
    <w:basedOn w:val="913"/>
    <w:uiPriority w:val="99"/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 w:customStyle="1">
    <w:name w:val="List Table 1 Light - Accent 5"/>
    <w:basedOn w:val="913"/>
    <w:uiPriority w:val="99"/>
    <w:tblPr>
      <w:tblStyleRowBandSize w:val="1"/>
      <w:tblStyleColBandSize w:val="1"/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 w:customStyle="1">
    <w:name w:val="List Table 1 Light - Accent 6"/>
    <w:basedOn w:val="913"/>
    <w:uiPriority w:val="99"/>
    <w:tblPr>
      <w:tblStyleRowBandSize w:val="1"/>
      <w:tblStyleColBandSize w:val="1"/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>
    <w:name w:val="List Table 2"/>
    <w:basedOn w:val="91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77" w:customStyle="1">
    <w:name w:val="List Table 2 - Accent 1"/>
    <w:basedOn w:val="913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78" w:customStyle="1">
    <w:name w:val="List Table 2 - Accent 2"/>
    <w:basedOn w:val="913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79" w:customStyle="1">
    <w:name w:val="List Table 2 - Accent 3"/>
    <w:basedOn w:val="91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80" w:customStyle="1">
    <w:name w:val="List Table 2 - Accent 4"/>
    <w:basedOn w:val="913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81" w:customStyle="1">
    <w:name w:val="List Table 2 - Accent 5"/>
    <w:basedOn w:val="913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82" w:customStyle="1">
    <w:name w:val="List Table 2 - Accent 6"/>
    <w:basedOn w:val="913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83">
    <w:name w:val="List Table 3"/>
    <w:basedOn w:val="91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4" w:customStyle="1">
    <w:name w:val="List Table 3 - Accent 1"/>
    <w:basedOn w:val="913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5" w:customStyle="1">
    <w:name w:val="List Table 3 - Accent 2"/>
    <w:basedOn w:val="91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6" w:customStyle="1">
    <w:name w:val="List Table 3 - Accent 3"/>
    <w:basedOn w:val="91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7" w:customStyle="1">
    <w:name w:val="List Table 3 - Accent 4"/>
    <w:basedOn w:val="91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8" w:customStyle="1">
    <w:name w:val="List Table 3 - Accent 5"/>
    <w:basedOn w:val="913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9" w:customStyle="1">
    <w:name w:val="List Table 3 - Accent 6"/>
    <w:basedOn w:val="913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0">
    <w:name w:val="List Table 4"/>
    <w:basedOn w:val="91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1" w:customStyle="1">
    <w:name w:val="List Table 4 - Accent 1"/>
    <w:basedOn w:val="913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2" w:customStyle="1">
    <w:name w:val="List Table 4 - Accent 2"/>
    <w:basedOn w:val="913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3" w:customStyle="1">
    <w:name w:val="List Table 4 - Accent 3"/>
    <w:basedOn w:val="91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4" w:customStyle="1">
    <w:name w:val="List Table 4 - Accent 4"/>
    <w:basedOn w:val="913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5" w:customStyle="1">
    <w:name w:val="List Table 4 - Accent 5"/>
    <w:basedOn w:val="913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6" w:customStyle="1">
    <w:name w:val="List Table 4 - Accent 6"/>
    <w:basedOn w:val="913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7">
    <w:name w:val="List Table 5 Dark"/>
    <w:basedOn w:val="91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8" w:customStyle="1">
    <w:name w:val="List Table 5 Dark - Accent 1"/>
    <w:basedOn w:val="913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9" w:customStyle="1">
    <w:name w:val="List Table 5 Dark - Accent 2"/>
    <w:basedOn w:val="913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0" w:customStyle="1">
    <w:name w:val="List Table 5 Dark - Accent 3"/>
    <w:basedOn w:val="91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1" w:customStyle="1">
    <w:name w:val="List Table 5 Dark - Accent 4"/>
    <w:basedOn w:val="913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2" w:customStyle="1">
    <w:name w:val="List Table 5 Dark - Accent 5"/>
    <w:basedOn w:val="913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3" w:customStyle="1">
    <w:name w:val="List Table 5 Dark - Accent 6"/>
    <w:basedOn w:val="913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4">
    <w:name w:val="List Table 6 Colorful"/>
    <w:basedOn w:val="91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05" w:customStyle="1">
    <w:name w:val="List Table 6 Colorful - Accent 1"/>
    <w:basedOn w:val="913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006" w:customStyle="1">
    <w:name w:val="List Table 6 Colorful - Accent 2"/>
    <w:basedOn w:val="913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1007" w:customStyle="1">
    <w:name w:val="List Table 6 Colorful - Accent 3"/>
    <w:basedOn w:val="91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1008" w:customStyle="1">
    <w:name w:val="List Table 6 Colorful - Accent 4"/>
    <w:basedOn w:val="913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1009" w:customStyle="1">
    <w:name w:val="List Table 6 Colorful - Accent 5"/>
    <w:basedOn w:val="913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1010" w:customStyle="1">
    <w:name w:val="List Table 6 Colorful - Accent 6"/>
    <w:basedOn w:val="913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1011">
    <w:name w:val="List Table 7 Colorful"/>
    <w:basedOn w:val="91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 w:customStyle="1">
    <w:name w:val="List Table 7 Colorful - Accent 1"/>
    <w:basedOn w:val="913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 w:customStyle="1">
    <w:name w:val="List Table 7 Colorful - Accent 2"/>
    <w:basedOn w:val="913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 w:customStyle="1">
    <w:name w:val="List Table 7 Colorful - Accent 3"/>
    <w:basedOn w:val="91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 w:customStyle="1">
    <w:name w:val="List Table 7 Colorful - Accent 4"/>
    <w:basedOn w:val="913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 w:customStyle="1">
    <w:name w:val="List Table 7 Colorful - Accent 5"/>
    <w:basedOn w:val="913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 w:customStyle="1">
    <w:name w:val="List Table 7 Colorful - Accent 6"/>
    <w:basedOn w:val="913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8" w:customStyle="1">
    <w:name w:val="Lined - Accent"/>
    <w:basedOn w:val="91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19" w:customStyle="1">
    <w:name w:val="Lined - Accent 1"/>
    <w:basedOn w:val="91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020" w:customStyle="1">
    <w:name w:val="Lined - Accent 2"/>
    <w:basedOn w:val="91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021" w:customStyle="1">
    <w:name w:val="Lined - Accent 3"/>
    <w:basedOn w:val="91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22" w:customStyle="1">
    <w:name w:val="Lined - Accent 4"/>
    <w:basedOn w:val="91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023" w:customStyle="1">
    <w:name w:val="Lined - Accent 5"/>
    <w:basedOn w:val="91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24" w:customStyle="1">
    <w:name w:val="Lined - Accent 6"/>
    <w:basedOn w:val="91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25" w:customStyle="1">
    <w:name w:val="Bordered &amp; Lined - Accent"/>
    <w:basedOn w:val="913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26" w:customStyle="1">
    <w:name w:val="Bordered &amp; Lined - Accent 1"/>
    <w:basedOn w:val="913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027" w:customStyle="1">
    <w:name w:val="Bordered &amp; Lined - Accent 2"/>
    <w:basedOn w:val="913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028" w:customStyle="1">
    <w:name w:val="Bordered &amp; Lined - Accent 3"/>
    <w:basedOn w:val="913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29" w:customStyle="1">
    <w:name w:val="Bordered &amp; Lined - Accent 4"/>
    <w:basedOn w:val="913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030" w:customStyle="1">
    <w:name w:val="Bordered &amp; Lined - Accent 5"/>
    <w:basedOn w:val="913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31" w:customStyle="1">
    <w:name w:val="Bordered &amp; Lined - Accent 6"/>
    <w:basedOn w:val="913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32" w:customStyle="1">
    <w:name w:val="Bordered"/>
    <w:basedOn w:val="91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33" w:customStyle="1">
    <w:name w:val="Bordered - Accent 1"/>
    <w:basedOn w:val="91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034" w:customStyle="1">
    <w:name w:val="Bordered - Accent 2"/>
    <w:basedOn w:val="91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1035" w:customStyle="1">
    <w:name w:val="Bordered - Accent 3"/>
    <w:basedOn w:val="91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1036" w:customStyle="1">
    <w:name w:val="Bordered - Accent 4"/>
    <w:basedOn w:val="91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1037" w:customStyle="1">
    <w:name w:val="Bordered - Accent 5"/>
    <w:basedOn w:val="91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1038" w:customStyle="1">
    <w:name w:val="Bordered - Accent 6"/>
    <w:basedOn w:val="91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table" w:styleId="1039">
    <w:name w:val="Table Grid"/>
    <w:basedOn w:val="913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04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368&amp;n=197628&amp;dst=131" TargetMode="External"/><Relationship Id="rId16" Type="http://schemas.openxmlformats.org/officeDocument/2006/relationships/hyperlink" Target="https://login.consultant.ru/link/?req=doc&amp;base=RLAW368&amp;n=199045&amp;dst=14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dc:description/>
  <dc:language>ru-RU</dc:language>
  <cp:lastModifiedBy>samokhvalova-ev</cp:lastModifiedBy>
  <cp:revision>32</cp:revision>
  <dcterms:created xsi:type="dcterms:W3CDTF">2024-10-25T06:26:00Z</dcterms:created>
  <dcterms:modified xsi:type="dcterms:W3CDTF">2026-10-02T05:34:43Z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