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02.10.2026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175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02.10.2026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175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center"/>
        <w:spacing w:line="238" w:lineRule="exact"/>
        <w:suppressLineNumbers w:val="0"/>
      </w:pPr>
      <w:r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 xml:space="preserve">назначении обществ</w:t>
      </w:r>
      <w:r>
        <w:rPr>
          <w:b/>
          <w:bCs/>
          <w:color w:val="000000"/>
          <w:sz w:val="28"/>
          <w:szCs w:val="28"/>
        </w:rPr>
        <w:t xml:space="preserve">енных </w:t>
      </w:r>
      <w:r>
        <w:rPr>
          <w:b/>
          <w:bCs/>
          <w:color w:val="000000"/>
          <w:sz w:val="28"/>
          <w:szCs w:val="28"/>
        </w:rPr>
        <w:t xml:space="preserve">обсуждений по рассмотрению </w:t>
        <w:br/>
      </w:r>
      <w:r>
        <w:rPr>
          <w:b/>
          <w:bCs/>
          <w:color w:val="000000"/>
          <w:sz w:val="28"/>
          <w:szCs w:val="28"/>
        </w:rPr>
        <w:t xml:space="preserve">проекта планировки территории, </w:t>
      </w:r>
      <w:r>
        <w:rPr>
          <w:b/>
          <w:bCs/>
          <w:color w:val="000000"/>
          <w:sz w:val="28"/>
          <w:szCs w:val="28"/>
        </w:rPr>
        <w:t xml:space="preserve">ограниченной ул. Луначарского, </w:t>
        <w:br/>
        <w:t xml:space="preserve">ул. Пушкина, зданием по ул. Борчанинова, 50, </w:t>
      </w:r>
      <w:r>
        <w:rPr>
          <w:b/>
          <w:bCs/>
          <w:color w:val="000000"/>
          <w:sz w:val="28"/>
          <w:szCs w:val="28"/>
        </w:rPr>
        <w:t xml:space="preserve">зданием </w:t>
        <w:br/>
        <w:t xml:space="preserve">по ул. Пушкина, 91а, зданием по ул. Луначарского, 99 </w:t>
        <w:br/>
        <w:t xml:space="preserve">в Ленинском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районе города Перми</w:t>
      </w:r>
      <w:r>
        <w:rPr>
          <w:b/>
          <w:bCs/>
          <w:color w:val="000000"/>
          <w:sz w:val="28"/>
          <w:szCs w:val="28"/>
        </w:rPr>
      </w:r>
      <w:r/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приказа Министерства </w:t>
      </w:r>
      <w:r>
        <w:rPr>
          <w:sz w:val="28"/>
          <w:szCs w:val="28"/>
          <w:highlight w:val="none"/>
        </w:rPr>
        <w:t xml:space="preserve">по управлению имуществом и градостроительной деятельности</w:t>
      </w:r>
      <w:r>
        <w:rPr>
          <w:sz w:val="28"/>
          <w:szCs w:val="28"/>
          <w:highlight w:val="none"/>
        </w:rPr>
        <w:t xml:space="preserve"> Пермского края </w:t>
      </w:r>
      <w:r>
        <w:rPr>
          <w:b w:val="0"/>
          <w:bCs w:val="0"/>
          <w:sz w:val="28"/>
          <w:szCs w:val="28"/>
        </w:rPr>
        <w:t xml:space="preserve">от 15 сентября </w:t>
      </w:r>
      <w:r>
        <w:rPr>
          <w:b w:val="0"/>
          <w:bCs w:val="0"/>
          <w:sz w:val="28"/>
          <w:szCs w:val="28"/>
        </w:rPr>
        <w:t xml:space="preserve">202</w:t>
      </w:r>
      <w:r>
        <w:rPr>
          <w:b w:val="0"/>
          <w:bCs w:val="0"/>
          <w:sz w:val="28"/>
          <w:szCs w:val="28"/>
        </w:rPr>
        <w:t xml:space="preserve">6</w:t>
      </w:r>
      <w:r>
        <w:rPr>
          <w:b w:val="0"/>
          <w:bCs w:val="0"/>
          <w:sz w:val="28"/>
          <w:szCs w:val="28"/>
        </w:rPr>
        <w:t xml:space="preserve"> г. № </w:t>
      </w:r>
      <w:r>
        <w:rPr>
          <w:b w:val="0"/>
          <w:bCs w:val="0"/>
          <w:sz w:val="28"/>
          <w:szCs w:val="28"/>
        </w:rPr>
        <w:t xml:space="preserve">31-02-1-4-2166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О направлении проекта планировки территории, </w:t>
      </w:r>
      <w:r>
        <w:rPr>
          <w:b w:val="0"/>
          <w:bCs w:val="0"/>
          <w:sz w:val="28"/>
          <w:szCs w:val="28"/>
        </w:rPr>
        <w:t xml:space="preserve">ограниченной ул. Луначарского, ул. Пушкина, зданием по ул. Борчанинова, 50,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зданием по ул. Пушкина, 91а, зданием по ул. Луначарского, 99 в Ленинском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районе города Перми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д</w:t>
      </w:r>
      <w:r>
        <w:rPr>
          <w:b w:val="0"/>
          <w:bCs w:val="0"/>
          <w:sz w:val="28"/>
          <w:szCs w:val="28"/>
        </w:rPr>
        <w:t xml:space="preserve">ля организации и проведения общественных обсуждений или публичных слушаний</w:t>
      </w:r>
      <w:r>
        <w:rPr>
          <w:b w:val="0"/>
          <w:bCs w:val="0"/>
          <w:sz w:val="28"/>
          <w:szCs w:val="28"/>
        </w:rPr>
        <w:t xml:space="preserve">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Устава городского округа город Пермь,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Пермской городской Думы от 26 июня 2007 г. </w:t>
      </w:r>
      <w:r>
        <w:rPr>
          <w:sz w:val="28"/>
          <w:szCs w:val="28"/>
        </w:rPr>
        <w:t xml:space="preserve">№ 143 «Об утверждении Правил землепользования и застройки города Перми»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</w:t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</w:t>
      </w:r>
      <w:r>
        <w:rPr>
          <w:sz w:val="28"/>
          <w:szCs w:val="28"/>
        </w:rPr>
        <w:t xml:space="preserve"> г. № 83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письма Министерства по управлению имуществом и градостроительной деятельности Пермского края о</w:t>
      </w:r>
      <w:r>
        <w:rPr>
          <w:sz w:val="28"/>
          <w:szCs w:val="28"/>
          <w:highlight w:val="white"/>
        </w:rPr>
        <w:t xml:space="preserve">т 17 сентября </w:t>
      </w:r>
      <w:r>
        <w:rPr>
          <w:sz w:val="28"/>
          <w:szCs w:val="28"/>
          <w:highlight w:val="white"/>
        </w:rPr>
        <w:t xml:space="preserve">2026 г. </w:t>
        <w:br/>
      </w:r>
      <w:r>
        <w:rPr>
          <w:sz w:val="28"/>
          <w:szCs w:val="28"/>
          <w:highlight w:val="white"/>
        </w:rPr>
        <w:t xml:space="preserve">Ивн</w:t>
      </w:r>
      <w:r>
        <w:rPr>
          <w:color w:val="000000" w:themeColor="text1"/>
          <w:sz w:val="28"/>
          <w:szCs w:val="28"/>
          <w:highlight w:val="white"/>
        </w:rPr>
        <w:t xml:space="preserve">31-02-1-21-1890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заключения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соответств</w:t>
      </w:r>
      <w:r>
        <w:rPr>
          <w:sz w:val="28"/>
          <w:szCs w:val="28"/>
          <w:highlight w:val="white"/>
        </w:rPr>
        <w:t xml:space="preserve">ии </w:t>
      </w:r>
      <w:r>
        <w:rPr>
          <w:sz w:val="28"/>
          <w:szCs w:val="28"/>
          <w:highlight w:val="white"/>
        </w:rPr>
        <w:t xml:space="preserve">проекта планировки территории, ограниченной ул. Луначарского, ул. Пушкина, зданием по ул. Борчанинова, 50, зданием по ул. Пушкина, 91а, зданием по ул. Луначарского, 99 в Ленинском районе города Перми</w:t>
      </w:r>
      <w:r>
        <w:rPr>
          <w:b w:val="0"/>
          <w:bCs w:val="0"/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ребованиям гр</w:t>
      </w:r>
      <w:r>
        <w:rPr>
          <w:sz w:val="28"/>
          <w:szCs w:val="28"/>
          <w:highlight w:val="white"/>
        </w:rPr>
        <w:t xml:space="preserve">адостроительного законодательства Российской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Федер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ции</w:t>
      </w:r>
      <w:r>
        <w:rPr>
          <w:sz w:val="28"/>
          <w:szCs w:val="28"/>
          <w:highlight w:val="white"/>
        </w:rPr>
        <w:t xml:space="preserve"> от 14 сентября </w:t>
      </w:r>
      <w:r>
        <w:rPr>
          <w:color w:val="000000" w:themeColor="text1"/>
          <w:sz w:val="28"/>
          <w:szCs w:val="28"/>
          <w:highlight w:val="white"/>
        </w:rPr>
        <w:t xml:space="preserve">2026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  <w:highlight w:val="none"/>
        </w:rPr>
        <w:t xml:space="preserve">по рассмотре</w:t>
      </w:r>
      <w:r>
        <w:rPr>
          <w:sz w:val="28"/>
          <w:szCs w:val="28"/>
          <w:highlight w:val="none"/>
        </w:rPr>
        <w:t xml:space="preserve">нию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  <w:t xml:space="preserve">проекта планировки территории,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ограниченной ул. Луначарского, ул. Пушкина, зданием </w:t>
        <w:br/>
        <w:t xml:space="preserve">по ул. Борчанинова, 50,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зданием по ул. Пушкина, 91а, зданием по ул. Луначарского, 99 в Ленинском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районе города Перми</w:t>
      </w:r>
      <w:r>
        <w:rPr>
          <w:sz w:val="28"/>
          <w:szCs w:val="28"/>
        </w:rPr>
        <w:t xml:space="preserve"> (далее − П</w:t>
      </w:r>
      <w:r>
        <w:rPr>
          <w:sz w:val="28"/>
          <w:szCs w:val="28"/>
        </w:rPr>
        <w:t xml:space="preserve">роект)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Министерством по управлению имуществом и градостроительной деятельности Пермского края, 13 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"https://isogd.gorodperm.ru/" \t "_blank"</w:instrText>
      </w:r>
      <w:r>
        <w:rPr>
          <w:sz w:val="28"/>
          <w:szCs w:val="28"/>
        </w:rPr>
        <w:fldChar w:fldCharType="separate"/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isogd.gorodperm.ru</w:t>
      </w:r>
      <w:r>
        <w:rPr>
          <w:sz w:val="28"/>
          <w:szCs w:val="28"/>
        </w:rPr>
        <w:fldChar w:fldCharType="end"/>
      </w:r>
      <w:r>
        <w:rPr>
          <w:rFonts w:eastAsia="Calibri"/>
          <w:bCs/>
          <w:sz w:val="28"/>
          <w:szCs w:val="28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lang w:eastAsia="en-US"/>
        </w:rPr>
        <w:t xml:space="preserve">и</w:t>
      </w:r>
      <w:r>
        <w:rPr>
          <w:rFonts w:eastAsia="Calibri"/>
          <w:bCs/>
          <w:sz w:val="28"/>
          <w:szCs w:val="28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lang w:eastAsia="en-US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"http://www.gorodperm.ru"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886"/>
          <w:color w:val="000000"/>
          <w:sz w:val="28"/>
          <w:szCs w:val="28"/>
          <w:highlight w:val="none"/>
          <w:u w:val="none"/>
        </w:rPr>
        <w:t xml:space="preserve">www.gorodperm.ru</w:t>
      </w:r>
      <w:r>
        <w:rPr>
          <w:sz w:val="28"/>
          <w:szCs w:val="28"/>
          <w:highlight w:val="none"/>
        </w:rPr>
        <w:fldChar w:fldCharType="end"/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  <w:br/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 </w:t>
      </w:r>
      <w:r>
        <w:rPr>
          <w:sz w:val="28"/>
          <w:szCs w:val="28"/>
          <w:highlight w:val="none"/>
        </w:rPr>
        <w:t xml:space="preserve">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вопросам градостроительной деятельности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при администрации</w:t>
      </w:r>
      <w:r>
        <w:rPr>
          <w:sz w:val="28"/>
          <w:szCs w:val="28"/>
        </w:rPr>
        <w:t xml:space="preserve"> Ленинского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города Перми </w:t>
      </w:r>
      <w:r>
        <w:rPr>
          <w:sz w:val="28"/>
          <w:szCs w:val="28"/>
        </w:rPr>
        <w:t xml:space="preserve">(далее – 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</w:t>
      </w:r>
      <w:r>
        <w:rPr>
          <w:sz w:val="28"/>
          <w:szCs w:val="28"/>
        </w:rPr>
        <w:t xml:space="preserve">общественных обсуждений по рассмотрению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</w:t>
      </w:r>
      <w:r>
        <w:rPr>
          <w:sz w:val="28"/>
          <w:szCs w:val="28"/>
        </w:rPr>
        <w:t xml:space="preserve">общественных обсуждений по рассмотрению Проекта и направить его в Министерство по управлению имуществом и градостроительной деятельности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его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 </w:t>
      </w:r>
      <w:r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заключение о результатах </w:t>
      </w:r>
      <w:r>
        <w:rPr>
          <w:sz w:val="28"/>
          <w:szCs w:val="28"/>
        </w:rPr>
        <w:t xml:space="preserve">общественных обсуждений по рассмотрению Проекта </w:t>
      </w:r>
      <w:r>
        <w:rPr>
          <w:sz w:val="28"/>
          <w:szCs w:val="28"/>
        </w:rPr>
        <w:t xml:space="preserve">в Министерство по управлению имуществом и градостроительной деятельности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</w:t>
      </w:r>
      <w:r>
        <w:rPr>
          <w:sz w:val="28"/>
          <w:szCs w:val="28"/>
        </w:rPr>
        <w:t xml:space="preserve"> организационному</w:t>
      </w:r>
      <w:r>
        <w:rPr>
          <w:sz w:val="28"/>
          <w:szCs w:val="28"/>
        </w:rPr>
        <w:t xml:space="preserve"> комитету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</w:t>
      </w:r>
      <w:r>
        <w:rPr>
          <w:sz w:val="28"/>
          <w:szCs w:val="28"/>
        </w:rPr>
        <w:t xml:space="preserve">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</w:t>
      </w:r>
      <w:r>
        <w:rPr>
          <w:sz w:val="28"/>
          <w:szCs w:val="28"/>
          <w:highlight w:val="white"/>
        </w:rPr>
        <w:t xml:space="preserve">с 13 октября </w:t>
      </w:r>
      <w:r>
        <w:rPr>
          <w:sz w:val="28"/>
          <w:szCs w:val="28"/>
          <w:highlight w:val="white"/>
        </w:rPr>
        <w:t xml:space="preserve">2026 г. </w:t>
      </w:r>
      <w:r>
        <w:rPr>
          <w:sz w:val="28"/>
          <w:szCs w:val="28"/>
          <w:highlight w:val="white"/>
        </w:rPr>
        <w:t xml:space="preserve">по 19 октября </w:t>
        <w:br/>
        <w:t xml:space="preserve">2026 г.: понедельник-четверг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с 09.00 час. до 18.00 час.</w:t>
      </w:r>
      <w:r>
        <w:rPr>
          <w:sz w:val="28"/>
          <w:szCs w:val="28"/>
          <w:highlight w:val="white"/>
        </w:rPr>
        <w:t xml:space="preserve">, пятница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09.00 час. </w:t>
        <w:br/>
        <w:t xml:space="preserve">до 17.00 час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 адресу: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614000, г. Пермь, ул. Пермская, 57, администрация Ленинского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71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.4. организовать консультирование посетителей экспозиции Проекта 13</w:t>
      </w:r>
      <w:r>
        <w:rPr>
          <w:sz w:val="28"/>
          <w:szCs w:val="28"/>
        </w:rPr>
        <w:t xml:space="preserve"> октября </w:t>
      </w:r>
      <w:r>
        <w:rPr>
          <w:color w:val="000000"/>
          <w:sz w:val="28"/>
          <w:highlight w:val="white"/>
        </w:rPr>
        <w:t xml:space="preserve">2026 г. </w:t>
      </w:r>
      <w:r>
        <w:rPr>
          <w:color w:val="000000"/>
          <w:sz w:val="28"/>
          <w:szCs w:val="28"/>
          <w:highlight w:val="white"/>
        </w:rPr>
        <w:t xml:space="preserve">с 17.00 час. до 17.20 час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</w:t>
      </w:r>
      <w:r>
        <w:rPr>
          <w:color w:val="000000"/>
          <w:sz w:val="28"/>
          <w:szCs w:val="28"/>
          <w:highlight w:val="white"/>
        </w:rPr>
        <w:t xml:space="preserve"> адресу</w:t>
      </w:r>
      <w:r>
        <w:rPr>
          <w:color w:val="000000"/>
          <w:sz w:val="28"/>
          <w:szCs w:val="28"/>
          <w:highlight w:val="white"/>
        </w:rPr>
        <w:t xml:space="preserve">: </w:t>
      </w:r>
      <w:r>
        <w:rPr>
          <w:color w:val="000000"/>
          <w:sz w:val="28"/>
          <w:szCs w:val="28"/>
        </w:rPr>
        <w:t xml:space="preserve">614000, г. Пермь, ул. Пермская, 57, каб. 15, администрация Ленинского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 сведения 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</w:t>
      </w:r>
      <w:r>
        <w:rPr>
          <w:sz w:val="28"/>
          <w:szCs w:val="28"/>
        </w:rPr>
        <w:t xml:space="preserve">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</w:t>
      </w:r>
      <w:r>
        <w:rPr>
          <w:sz w:val="28"/>
          <w:szCs w:val="28"/>
          <w:highlight w:val="none"/>
        </w:rPr>
        <w:t xml:space="preserve">не менее четырнадцати дней и не более тридцати дней со дня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идентификацию </w:t>
        <w:br/>
        <w:t xml:space="preserve">в соответствии с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</w:t>
      </w:r>
      <w:r>
        <w:rPr>
          <w:sz w:val="28"/>
          <w:szCs w:val="28"/>
          <w:highlight w:val="white"/>
        </w:rPr>
        <w:t xml:space="preserve">с 13 октября 2026 г. по 19 октября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 по адресу, указанному </w:t>
        <w:br/>
      </w:r>
      <w:r>
        <w:rPr>
          <w:sz w:val="28"/>
          <w:szCs w:val="28"/>
        </w:rPr>
        <w:t xml:space="preserve">в пункте 3</w:t>
      </w:r>
      <w:r>
        <w:rPr>
          <w:sz w:val="28"/>
          <w:szCs w:val="28"/>
        </w:rPr>
        <w:t xml:space="preserve">.3 настоящего постановления,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dga@perm.permkrai.ru;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.2.3. </w:t>
      </w: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</w:rPr>
        <w:t xml:space="preserve"> г. Пермь,</w:t>
      </w:r>
      <w:r>
        <w:rPr>
          <w:sz w:val="28"/>
          <w:szCs w:val="28"/>
        </w:rPr>
        <w:t xml:space="preserve"> ул. Сибирская, д. 15, каб. 003.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</w:t>
      </w:r>
      <w:r>
        <w:rPr>
          <w:sz w:val="28"/>
          <w:szCs w:val="28"/>
          <w:highlight w:val="none"/>
        </w:rPr>
        <w:t xml:space="preserve">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highlight w:val="none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73</cp:revision>
  <dcterms:created xsi:type="dcterms:W3CDTF">2024-10-25T06:16:00Z</dcterms:created>
  <dcterms:modified xsi:type="dcterms:W3CDTF">2026-10-02T06:57:42Z</dcterms:modified>
</cp:coreProperties>
</file>