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12" w:rsidRPr="00F020F4" w:rsidRDefault="002C0C12" w:rsidP="002C0C12">
      <w:pPr>
        <w:jc w:val="center"/>
        <w:rPr>
          <w:b/>
          <w:sz w:val="40"/>
          <w:szCs w:val="40"/>
        </w:rPr>
      </w:pPr>
      <w:r w:rsidRPr="00F020F4">
        <w:rPr>
          <w:b/>
          <w:sz w:val="40"/>
          <w:szCs w:val="40"/>
        </w:rPr>
        <w:t xml:space="preserve">Памятка заявителю </w:t>
      </w:r>
    </w:p>
    <w:p w:rsidR="002C0C12" w:rsidRPr="00F020F4" w:rsidRDefault="002C0C12" w:rsidP="002C0C12">
      <w:pPr>
        <w:jc w:val="center"/>
        <w:rPr>
          <w:b/>
          <w:sz w:val="28"/>
          <w:szCs w:val="28"/>
        </w:rPr>
      </w:pPr>
      <w:r w:rsidRPr="00F020F4">
        <w:rPr>
          <w:b/>
          <w:sz w:val="28"/>
          <w:szCs w:val="28"/>
        </w:rPr>
        <w:t xml:space="preserve">по предоставлению муниципальной услуги </w:t>
      </w:r>
    </w:p>
    <w:p w:rsidR="002C0C12" w:rsidRPr="00F020F4" w:rsidRDefault="002C0C12" w:rsidP="002C0C12">
      <w:pPr>
        <w:jc w:val="center"/>
        <w:rPr>
          <w:b/>
          <w:sz w:val="28"/>
          <w:szCs w:val="28"/>
        </w:rPr>
      </w:pPr>
      <w:r w:rsidRPr="00F020F4">
        <w:rPr>
          <w:b/>
          <w:bCs/>
          <w:sz w:val="28"/>
          <w:szCs w:val="28"/>
        </w:rPr>
        <w:t>«</w:t>
      </w:r>
      <w:r w:rsidRPr="002C0C12">
        <w:rPr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F020F4">
        <w:rPr>
          <w:b/>
          <w:sz w:val="28"/>
          <w:szCs w:val="28"/>
        </w:rPr>
        <w:t>»</w:t>
      </w:r>
      <w:r w:rsidRPr="00F020F4">
        <w:rPr>
          <w:b/>
          <w:sz w:val="27"/>
          <w:szCs w:val="27"/>
        </w:rPr>
        <w:t xml:space="preserve"> </w:t>
      </w:r>
    </w:p>
    <w:p w:rsidR="002C0C12" w:rsidRPr="00F020F4" w:rsidRDefault="002C0C12" w:rsidP="002C0C12">
      <w:pPr>
        <w:ind w:firstLine="720"/>
        <w:jc w:val="center"/>
        <w:rPr>
          <w:b/>
          <w:sz w:val="27"/>
          <w:szCs w:val="27"/>
        </w:rPr>
      </w:pPr>
    </w:p>
    <w:p w:rsidR="002C0C12" w:rsidRPr="004D569B" w:rsidRDefault="002C0C12" w:rsidP="002C0C12">
      <w:pPr>
        <w:ind w:firstLine="426"/>
        <w:jc w:val="both"/>
        <w:rPr>
          <w:rFonts w:eastAsia="Calibri"/>
          <w:sz w:val="28"/>
          <w:szCs w:val="28"/>
        </w:rPr>
      </w:pPr>
      <w:r w:rsidRPr="004D569B">
        <w:rPr>
          <w:rFonts w:eastAsia="Calibri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4D569B">
        <w:rPr>
          <w:rFonts w:eastAsia="Calibri"/>
          <w:sz w:val="28"/>
          <w:szCs w:val="28"/>
        </w:rPr>
        <w:t xml:space="preserve">(в том числе с помощью гостевых компьютеров в МФЦ или в </w:t>
      </w:r>
      <w:r w:rsidRPr="00F020F4">
        <w:rPr>
          <w:sz w:val="28"/>
          <w:szCs w:val="28"/>
        </w:rPr>
        <w:t xml:space="preserve">департаменте градостроительства </w:t>
      </w:r>
      <w:r w:rsidRPr="00F020F4">
        <w:rPr>
          <w:sz w:val="28"/>
          <w:szCs w:val="28"/>
        </w:rPr>
        <w:br w:type="textWrapping" w:clear="all"/>
        <w:t>и архитектуры администрации города Перми</w:t>
      </w:r>
      <w:r w:rsidRPr="004D569B">
        <w:rPr>
          <w:rFonts w:eastAsia="Calibri"/>
          <w:sz w:val="28"/>
          <w:szCs w:val="28"/>
        </w:rPr>
        <w:t>), что позволит получить результат в электронном виде и раньше регламентных сроков.</w:t>
      </w:r>
    </w:p>
    <w:p w:rsidR="002C0C12" w:rsidRPr="004D569B" w:rsidRDefault="002C0C12" w:rsidP="002C0C12">
      <w:pPr>
        <w:ind w:firstLine="426"/>
        <w:jc w:val="both"/>
        <w:rPr>
          <w:rFonts w:eastAsia="Calibri"/>
          <w:b/>
          <w:sz w:val="28"/>
          <w:szCs w:val="28"/>
        </w:rPr>
      </w:pPr>
    </w:p>
    <w:p w:rsidR="002C0C12" w:rsidRPr="004D569B" w:rsidRDefault="002C0C12" w:rsidP="002C0C12">
      <w:pPr>
        <w:ind w:firstLine="426"/>
        <w:rPr>
          <w:rFonts w:eastAsia="Calibri"/>
          <w:b/>
          <w:sz w:val="28"/>
          <w:szCs w:val="28"/>
        </w:rPr>
      </w:pPr>
      <w:r w:rsidRPr="004D569B">
        <w:rPr>
          <w:rFonts w:eastAsia="Calibri"/>
          <w:b/>
          <w:sz w:val="28"/>
          <w:szCs w:val="28"/>
        </w:rPr>
        <w:t>Перечень необходимых документов:</w:t>
      </w:r>
    </w:p>
    <w:p w:rsidR="002C0C12" w:rsidRPr="004D569B" w:rsidRDefault="002C0C12" w:rsidP="002C0C12">
      <w:pPr>
        <w:ind w:firstLine="426"/>
        <w:jc w:val="both"/>
        <w:rPr>
          <w:rFonts w:eastAsia="Calibri"/>
          <w:sz w:val="28"/>
          <w:szCs w:val="28"/>
        </w:rPr>
      </w:pPr>
      <w:r w:rsidRPr="004D569B">
        <w:rPr>
          <w:rFonts w:eastAsia="Calibri"/>
          <w:b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уведомление</w:t>
      </w:r>
      <w:r w:rsidRPr="004D569B">
        <w:rPr>
          <w:rFonts w:eastAsia="Calibri"/>
          <w:b/>
          <w:sz w:val="28"/>
          <w:szCs w:val="28"/>
        </w:rPr>
        <w:t xml:space="preserve"> </w:t>
      </w:r>
      <w:r w:rsidRPr="004D569B">
        <w:rPr>
          <w:rFonts w:eastAsia="Calibri"/>
          <w:sz w:val="28"/>
          <w:szCs w:val="28"/>
        </w:rPr>
        <w:t>(при обращении через портал «Госуслуги» заполняется по интерактивной форме на портале);</w:t>
      </w:r>
    </w:p>
    <w:p w:rsidR="002C0C12" w:rsidRDefault="002C0C12" w:rsidP="002C0C12">
      <w:pPr>
        <w:ind w:firstLine="426"/>
        <w:jc w:val="both"/>
        <w:rPr>
          <w:rFonts w:eastAsia="Calibri"/>
          <w:sz w:val="28"/>
          <w:szCs w:val="28"/>
        </w:rPr>
      </w:pPr>
      <w:r w:rsidRPr="004D569B">
        <w:rPr>
          <w:rFonts w:eastAsia="Calibri"/>
          <w:sz w:val="28"/>
          <w:szCs w:val="28"/>
        </w:rPr>
        <w:t>- копия документа, удостоверяющего личность заявителя (при обращении через портал «Госуслуги» не требуется)</w:t>
      </w:r>
      <w:r>
        <w:rPr>
          <w:rFonts w:eastAsia="Calibri"/>
          <w:sz w:val="28"/>
          <w:szCs w:val="28"/>
        </w:rPr>
        <w:t>.</w:t>
      </w:r>
    </w:p>
    <w:p w:rsidR="002C0C12" w:rsidRDefault="002C0C12" w:rsidP="002C0C12">
      <w:pPr>
        <w:ind w:firstLine="426"/>
        <w:jc w:val="both"/>
        <w:rPr>
          <w:rFonts w:eastAsia="Calibri"/>
          <w:sz w:val="28"/>
          <w:szCs w:val="28"/>
        </w:rPr>
      </w:pPr>
    </w:p>
    <w:p w:rsidR="002C0C12" w:rsidRDefault="002C0C12" w:rsidP="002C0C12">
      <w:pPr>
        <w:ind w:firstLine="426"/>
        <w:jc w:val="both"/>
        <w:rPr>
          <w:rFonts w:eastAsia="Calibri"/>
          <w:sz w:val="28"/>
          <w:szCs w:val="28"/>
        </w:rPr>
      </w:pPr>
      <w:r w:rsidRPr="00540C32">
        <w:rPr>
          <w:rFonts w:eastAsia="Calibri"/>
          <w:sz w:val="28"/>
          <w:szCs w:val="28"/>
        </w:rPr>
        <w:t xml:space="preserve">С письменным </w:t>
      </w:r>
      <w:r>
        <w:rPr>
          <w:rFonts w:eastAsia="Calibri"/>
          <w:sz w:val="28"/>
          <w:szCs w:val="28"/>
        </w:rPr>
        <w:t>уведомлением</w:t>
      </w:r>
      <w:r w:rsidRPr="00540C32">
        <w:rPr>
          <w:rFonts w:eastAsia="Calibri"/>
          <w:sz w:val="28"/>
          <w:szCs w:val="28"/>
        </w:rPr>
        <w:t xml:space="preserve"> за предоставлением муниципальной услуги можно обратится в МФЦ (</w:t>
      </w:r>
      <w:r>
        <w:rPr>
          <w:rFonts w:eastAsia="Calibri"/>
          <w:sz w:val="28"/>
          <w:szCs w:val="28"/>
        </w:rPr>
        <w:t>рекомендации по</w:t>
      </w:r>
      <w:r w:rsidRPr="00540C32">
        <w:rPr>
          <w:rFonts w:eastAsia="Calibri"/>
          <w:sz w:val="28"/>
          <w:szCs w:val="28"/>
        </w:rPr>
        <w:t xml:space="preserve"> заполнени</w:t>
      </w:r>
      <w:r>
        <w:rPr>
          <w:rFonts w:eastAsia="Calibri"/>
          <w:sz w:val="28"/>
          <w:szCs w:val="28"/>
        </w:rPr>
        <w:t>ю</w:t>
      </w:r>
      <w:r w:rsidRPr="00540C32">
        <w:rPr>
          <w:rFonts w:eastAsia="Calibri"/>
          <w:sz w:val="28"/>
          <w:szCs w:val="28"/>
        </w:rPr>
        <w:t xml:space="preserve"> письменных </w:t>
      </w:r>
      <w:r>
        <w:rPr>
          <w:rFonts w:eastAsia="Calibri"/>
          <w:sz w:val="28"/>
          <w:szCs w:val="28"/>
        </w:rPr>
        <w:t>уведомлений</w:t>
      </w:r>
      <w:r w:rsidRPr="00540C32">
        <w:rPr>
          <w:rFonts w:eastAsia="Calibri"/>
          <w:sz w:val="28"/>
          <w:szCs w:val="28"/>
        </w:rPr>
        <w:t xml:space="preserve"> прилагаются).</w:t>
      </w:r>
    </w:p>
    <w:p w:rsidR="002C0C12" w:rsidRDefault="002C0C12" w:rsidP="002C0C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p w:rsidR="002C0C12" w:rsidRDefault="002C0C12" w:rsidP="002C0C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Скачать </w:t>
      </w:r>
      <w:r>
        <w:rPr>
          <w:sz w:val="28"/>
          <w:szCs w:val="28"/>
        </w:rPr>
        <w:t>форму уведомления</w:t>
      </w:r>
      <w:r>
        <w:rPr>
          <w:sz w:val="28"/>
          <w:szCs w:val="28"/>
        </w:rPr>
        <w:t xml:space="preserve"> можно в  информационно-телекоммуникационной сети Интернет по QR - код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2C0C12" w:rsidRDefault="002C0C12" w:rsidP="002C0C12">
      <w:pPr>
        <w:ind w:firstLine="720"/>
        <w:jc w:val="center"/>
        <w:rPr>
          <w:sz w:val="28"/>
          <w:szCs w:val="28"/>
        </w:rPr>
      </w:pPr>
      <w:r w:rsidRPr="000761DA">
        <w:rPr>
          <w:noProof/>
        </w:rPr>
        <w:drawing>
          <wp:inline distT="0" distB="0" distL="0" distR="0">
            <wp:extent cx="1562100" cy="15621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2C0C12" w:rsidRDefault="002C0C12">
      <w:pPr>
        <w:spacing w:line="283" w:lineRule="exact"/>
        <w:ind w:firstLine="709"/>
        <w:jc w:val="both"/>
        <w:rPr>
          <w:b/>
          <w:sz w:val="28"/>
          <w:szCs w:val="28"/>
        </w:rPr>
      </w:pPr>
    </w:p>
    <w:p w:rsidR="00501DD3" w:rsidRDefault="002C0C12">
      <w:pPr>
        <w:spacing w:line="283" w:lineRule="exact"/>
        <w:ind w:firstLine="709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Рекомендации по заполнению уведомления</w:t>
      </w:r>
    </w:p>
    <w:p w:rsidR="00501DD3" w:rsidRDefault="002C0C12">
      <w:pPr>
        <w:spacing w:line="283" w:lineRule="exact"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1) в п. 2.3. уведомления «Сведения о праве застройщика на земельный участок» необходимо указать </w:t>
      </w:r>
      <w:r>
        <w:rPr>
          <w:sz w:val="28"/>
          <w:szCs w:val="28"/>
        </w:rPr>
        <w:t>один из следующих вариантов:</w:t>
      </w:r>
    </w:p>
    <w:p w:rsidR="00501DD3" w:rsidRDefault="002C0C12">
      <w:pPr>
        <w:spacing w:line="283" w:lineRule="exact"/>
        <w:ind w:firstLine="53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- собственность</w:t>
      </w:r>
    </w:p>
    <w:p w:rsidR="00501DD3" w:rsidRDefault="002C0C12">
      <w:pPr>
        <w:ind w:firstLine="53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- общая долевая собственность </w:t>
      </w:r>
    </w:p>
    <w:p w:rsidR="00501DD3" w:rsidRDefault="002C0C12">
      <w:pPr>
        <w:ind w:firstLine="53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- совместная собственность</w:t>
      </w:r>
    </w:p>
    <w:p w:rsidR="00501DD3" w:rsidRDefault="002C0C12">
      <w:pPr>
        <w:ind w:firstLine="53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- аренда </w:t>
      </w:r>
    </w:p>
    <w:p w:rsidR="00501DD3" w:rsidRDefault="002C0C12">
      <w:pPr>
        <w:ind w:firstLine="539"/>
        <w:jc w:val="both"/>
        <w:rPr>
          <w:sz w:val="24"/>
          <w:szCs w:val="24"/>
        </w:rPr>
      </w:pPr>
      <w:r>
        <w:rPr>
          <w:sz w:val="28"/>
          <w:szCs w:val="28"/>
        </w:rPr>
        <w:t>2) если в п. 2.3 уведомления указано «собственность» либо земельный участок в аренде у одного человека (т.е. права иных</w:t>
      </w:r>
      <w:r>
        <w:rPr>
          <w:sz w:val="28"/>
          <w:szCs w:val="28"/>
        </w:rPr>
        <w:t xml:space="preserve"> лиц не зарегистрированы), то п.2.4. уведомления  «Сведения о наличии прав иных лиц на земельный участок (при наличии таких лиц)» необходимо заполнить словом «отсутствуют»;</w:t>
      </w:r>
    </w:p>
    <w:p w:rsidR="00501DD3" w:rsidRDefault="002C0C12">
      <w:pPr>
        <w:ind w:firstLine="539"/>
        <w:jc w:val="both"/>
        <w:rPr>
          <w:sz w:val="24"/>
          <w:szCs w:val="24"/>
        </w:rPr>
      </w:pPr>
      <w:r>
        <w:rPr>
          <w:sz w:val="28"/>
          <w:szCs w:val="28"/>
        </w:rPr>
        <w:t>если в п. 2.3 уведомления указано «общая совместная собственность» или «общая долев</w:t>
      </w:r>
      <w:r>
        <w:rPr>
          <w:sz w:val="28"/>
          <w:szCs w:val="28"/>
        </w:rPr>
        <w:t>ая собственность», либо арендаторами являются два или более человек, то в п .2.4. уведомления  «Сведения о наличии прав иных лиц на земельный участок (при наличии таких лиц)» необходимо перечислить лица, также являющиеся правообладателями земельного участк</w:t>
      </w:r>
      <w:r>
        <w:rPr>
          <w:sz w:val="28"/>
          <w:szCs w:val="28"/>
        </w:rPr>
        <w:t>а;</w:t>
      </w:r>
    </w:p>
    <w:p w:rsidR="00501DD3" w:rsidRDefault="002C0C12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3) если цел</w:t>
      </w:r>
      <w:r w:rsidRPr="002C0C12">
        <w:rPr>
          <w:sz w:val="28"/>
          <w:szCs w:val="28"/>
        </w:rPr>
        <w:t>ью</w:t>
      </w:r>
      <w:r>
        <w:rPr>
          <w:sz w:val="28"/>
          <w:szCs w:val="28"/>
        </w:rPr>
        <w:t xml:space="preserve"> подачи уведомления является реконструкция, то в п. 3.2. уведомления, помимо цели, необходимо указать кадастровый номер реконструируемого объекта. Кроме того, в случае если права на данный объект недвижимости не зарегистрированы в Едином го</w:t>
      </w:r>
      <w:r>
        <w:rPr>
          <w:sz w:val="28"/>
          <w:szCs w:val="28"/>
        </w:rPr>
        <w:t xml:space="preserve">сударственном реестре недвижимости к уведомлению следует приложить правоустанавливающие документы на реконструируемый объект. </w:t>
      </w:r>
    </w:p>
    <w:p w:rsidR="00501DD3" w:rsidRDefault="002C0C12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4) п. 3.3. «Сведения о планируемых параметрах или о параметрах построенного (реконструируемого) объекта»:</w:t>
      </w:r>
    </w:p>
    <w:p w:rsidR="00501DD3" w:rsidRDefault="002C0C1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п. 3.3.1  </w:t>
      </w:r>
      <w:r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надземных этажей - при определении учитываются только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м, и не учитывается подпо</w:t>
      </w:r>
      <w:r>
        <w:rPr>
          <w:sz w:val="28"/>
          <w:szCs w:val="28"/>
        </w:rPr>
        <w:t>лье под зданием независимо от его высоты, а также междуэтажное пространство и технический чердак с высотой менее 1,8 м.</w:t>
      </w:r>
    </w:p>
    <w:p w:rsidR="00501DD3" w:rsidRDefault="002C0C12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п. 3.3.2 высота – расстояние по вертикали, измеренное от проектной отметки земли до наивысшей точки плоской крыши здания (включая технич</w:t>
      </w:r>
      <w:r>
        <w:rPr>
          <w:sz w:val="28"/>
          <w:szCs w:val="28"/>
        </w:rPr>
        <w:t>еский этаж) или наивысшей точки конька скатной крыши здания при угле ската более 25 градусов.</w:t>
      </w:r>
    </w:p>
    <w:p w:rsidR="00501DD3" w:rsidRDefault="002C0C12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в п.  3.3.3 уведомления необходимо указывать размеры отступов от всех границ земельного участка до планируемого к строительству индивидуального жилого или садовог</w:t>
      </w:r>
      <w:r>
        <w:rPr>
          <w:sz w:val="28"/>
          <w:szCs w:val="28"/>
        </w:rPr>
        <w:t>о дома.</w:t>
      </w:r>
    </w:p>
    <w:p w:rsidR="00501DD3" w:rsidRDefault="002C0C12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п. 3.3.4 площадь застройки определяется как площадь горизонтального сечения по внешнему обводу зданий на уровне цоколя, включая выступающие части, в том числе крыльца и террасы (то есть площадь, занятая зданием на земле). Площадь под зданием, распо</w:t>
      </w:r>
      <w:r>
        <w:rPr>
          <w:sz w:val="28"/>
          <w:szCs w:val="28"/>
        </w:rPr>
        <w:t xml:space="preserve">ложенным на опорах, а также проезды под ним также включаются в площадь застройки. </w:t>
      </w:r>
    </w:p>
    <w:p w:rsidR="00501DD3" w:rsidRDefault="002C0C12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Кроме того, если на земельном участке зарегистрированы существующие объекты недвижимости с назначением «жилое», «жилой дом», «индивидуальный жилой дом» и т.п. в уведомлении </w:t>
      </w:r>
      <w:r>
        <w:rPr>
          <w:sz w:val="28"/>
          <w:szCs w:val="28"/>
        </w:rPr>
        <w:t>необходимо указать площадь застройки данных объектов. Данная информация необходима для осуществления проверки уведомления на соответствие требованиям, установленным Правилами землепользования и застройки г. Перми.</w:t>
      </w:r>
    </w:p>
    <w:p w:rsidR="00501DD3" w:rsidRDefault="002C0C12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5) Рекомендации по оформлению схематичного изображения объекта капитального строительства на земельном участке (п. 4 уведомления). </w:t>
      </w:r>
    </w:p>
    <w:p w:rsidR="00501DD3" w:rsidRDefault="002C0C12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В графическую часть необходимо включить:</w:t>
      </w:r>
    </w:p>
    <w:p w:rsidR="00501DD3" w:rsidRDefault="002C0C12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границы земельного участка </w:t>
      </w:r>
      <w:r>
        <w:rPr>
          <w:sz w:val="28"/>
          <w:szCs w:val="28"/>
        </w:rPr>
        <w:t xml:space="preserve">в соответствии с данными </w:t>
      </w:r>
      <w:r>
        <w:rPr>
          <w:sz w:val="28"/>
          <w:szCs w:val="28"/>
        </w:rPr>
        <w:t>государственного кадастрового</w:t>
      </w:r>
      <w:r>
        <w:rPr>
          <w:sz w:val="28"/>
          <w:szCs w:val="28"/>
        </w:rPr>
        <w:t xml:space="preserve"> учета;</w:t>
      </w:r>
    </w:p>
    <w:p w:rsidR="00501DD3" w:rsidRDefault="002C0C12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- ориентацию земельного участка относительно сторон света либо относительно существующей улично-дорожной сети;</w:t>
      </w:r>
    </w:p>
    <w:p w:rsidR="00501DD3" w:rsidRDefault="002C0C12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планируемый к строительству или реконструкции объект индивидуального жилищного строительства или садовый дом – </w:t>
      </w:r>
      <w:r>
        <w:rPr>
          <w:i/>
          <w:sz w:val="28"/>
          <w:szCs w:val="28"/>
        </w:rPr>
        <w:t>в случае направления уве</w:t>
      </w:r>
      <w:r>
        <w:rPr>
          <w:i/>
          <w:sz w:val="28"/>
          <w:szCs w:val="28"/>
        </w:rPr>
        <w:t>домления о планируемых строительстве или реконструкции</w:t>
      </w:r>
      <w:r>
        <w:rPr>
          <w:sz w:val="28"/>
          <w:szCs w:val="28"/>
        </w:rPr>
        <w:t>;</w:t>
      </w:r>
    </w:p>
    <w:p w:rsidR="00501DD3" w:rsidRDefault="002C0C12">
      <w:pPr>
        <w:ind w:firstLine="567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- построенного или реконструированного объекта индивидуального жилищного строительства или садового дома – </w:t>
      </w:r>
      <w:r>
        <w:rPr>
          <w:i/>
          <w:sz w:val="28"/>
          <w:szCs w:val="28"/>
        </w:rPr>
        <w:t>в случае направления уведомления об окончании строительства или реконструкции;</w:t>
      </w:r>
    </w:p>
    <w:p w:rsidR="00501DD3" w:rsidRDefault="002C0C12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- размеры отст</w:t>
      </w:r>
      <w:r>
        <w:rPr>
          <w:sz w:val="28"/>
          <w:szCs w:val="28"/>
        </w:rPr>
        <w:t xml:space="preserve">упов от всех границ земельного участка до индивидуального жилого дома или садового дома; </w:t>
      </w:r>
    </w:p>
    <w:p w:rsidR="00501DD3" w:rsidRDefault="002C0C12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- при наличии - существующие объекты капитального строительства, в том числе объекты, подлежащие сносу (демонтажу) с указанием их кадастровых номеров и площади застро</w:t>
      </w:r>
      <w:r>
        <w:rPr>
          <w:sz w:val="28"/>
          <w:szCs w:val="28"/>
        </w:rPr>
        <w:t>йки;</w:t>
      </w:r>
    </w:p>
    <w:p w:rsidR="00501DD3" w:rsidRDefault="002C0C12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- при наличии - границы зон с особыми условиями использования территории в том числе: зон охраны объектов культурного наследия, особо охраняемых природных территорий, территорий природного комплекса, береговых полос и водоохранных зон, санитарно-защит</w:t>
      </w:r>
      <w:r>
        <w:rPr>
          <w:sz w:val="28"/>
          <w:szCs w:val="28"/>
        </w:rPr>
        <w:t>ных зон, охранных зон инженерных коммуникаций т.д.</w:t>
      </w:r>
    </w:p>
    <w:p w:rsidR="00501DD3" w:rsidRDefault="002C0C12">
      <w:pPr>
        <w:ind w:firstLine="567"/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Информацию о наличии вышеуказанных зон, а также об имеющихся ограничениях и условиях использования земельного участка Вы можете узнать </w:t>
      </w:r>
      <w:r>
        <w:rPr>
          <w:sz w:val="28"/>
          <w:szCs w:val="28"/>
          <w:u w:val="single"/>
        </w:rPr>
        <w:t>на публичном портале АИСОГД</w:t>
      </w:r>
      <w:r>
        <w:rPr>
          <w:color w:val="00B0F0"/>
          <w:sz w:val="28"/>
          <w:szCs w:val="28"/>
          <w:u w:val="single"/>
        </w:rPr>
        <w:t xml:space="preserve"> </w:t>
      </w:r>
      <w:hyperlink r:id="rId8" w:tooltip="https://isogd.gorodperm.ru/" w:history="1">
        <w:r>
          <w:rPr>
            <w:rStyle w:val="af1"/>
            <w:sz w:val="28"/>
            <w:szCs w:val="28"/>
          </w:rPr>
          <w:t>https://isogd.gorodperm.ru/</w:t>
        </w:r>
      </w:hyperlink>
    </w:p>
    <w:p w:rsidR="00501DD3" w:rsidRDefault="002C0C12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в Памятку включен QR - код. </w:t>
      </w:r>
    </w:p>
    <w:p w:rsidR="00501DD3" w:rsidRDefault="002C0C12">
      <w:pPr>
        <w:pStyle w:val="aff8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88720" cy="1183005"/>
            <wp:effectExtent l="0" t="0" r="0" b="0"/>
            <wp:docPr id="1" name="_x0000_i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60942" t="32639" r="22260" b="37500"/>
                    <a:stretch/>
                  </pic:blipFill>
                  <pic:spPr bwMode="auto">
                    <a:xfrm>
                      <a:off x="0" y="0"/>
                      <a:ext cx="118872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DD3" w:rsidSect="002C0C12">
      <w:headerReference w:type="even" r:id="rId10"/>
      <w:headerReference w:type="default" r:id="rId11"/>
      <w:pgSz w:w="11906" w:h="16838"/>
      <w:pgMar w:top="851" w:right="567" w:bottom="993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D3" w:rsidRDefault="002C0C12">
      <w:r>
        <w:separator/>
      </w:r>
    </w:p>
  </w:endnote>
  <w:endnote w:type="continuationSeparator" w:id="0">
    <w:p w:rsidR="00501DD3" w:rsidRDefault="002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D3" w:rsidRDefault="002C0C12">
      <w:r>
        <w:separator/>
      </w:r>
    </w:p>
  </w:footnote>
  <w:footnote w:type="continuationSeparator" w:id="0">
    <w:p w:rsidR="00501DD3" w:rsidRDefault="002C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D3" w:rsidRDefault="002C0C12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01DD3" w:rsidRDefault="00501DD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D3" w:rsidRDefault="002C0C12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01DD3" w:rsidRDefault="00501DD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0AA5"/>
    <w:multiLevelType w:val="hybridMultilevel"/>
    <w:tmpl w:val="0D0030F8"/>
    <w:lvl w:ilvl="0" w:tplc="0456D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79CD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D7034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A183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73ECA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3B67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EAA26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9DA30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51ED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D5A363B"/>
    <w:multiLevelType w:val="hybridMultilevel"/>
    <w:tmpl w:val="508A5174"/>
    <w:lvl w:ilvl="0" w:tplc="264208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D592BB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184C84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7AAEE5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71E859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CD223CE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3AC4C5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7E1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093CA5B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D3"/>
    <w:rsid w:val="002C0C12"/>
    <w:rsid w:val="005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CAEBA-EACE-447A-9606-2E364944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afe">
    <w:name w:val="Форма"/>
    <w:rPr>
      <w:sz w:val="28"/>
      <w:szCs w:val="28"/>
      <w:lang w:eastAsia="ru-RU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paragraph" w:customStyle="1" w:styleId="aff0">
    <w:name w:val="Исполнитель"/>
    <w:basedOn w:val="afa"/>
    <w:pPr>
      <w:spacing w:line="240" w:lineRule="exact"/>
      <w:ind w:firstLine="709"/>
      <w:jc w:val="both"/>
    </w:pPr>
    <w:rPr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customStyle="1" w:styleId="aff2">
    <w:name w:val="Регистр"/>
    <w:rPr>
      <w:sz w:val="28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character" w:styleId="aff3">
    <w:name w:val="annotation reference"/>
    <w:basedOn w:val="a0"/>
    <w:rPr>
      <w:sz w:val="16"/>
      <w:szCs w:val="16"/>
    </w:rPr>
  </w:style>
  <w:style w:type="paragraph" w:styleId="aff4">
    <w:name w:val="annotation text"/>
    <w:basedOn w:val="a"/>
    <w:link w:val="aff5"/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basedOn w:val="aff5"/>
    <w:link w:val="aff6"/>
    <w:rPr>
      <w:b/>
      <w:bCs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Text14">
    <w:name w:val="Text14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eastAsiaTheme="minorEastAsia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gd.gorodper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Епишин Александр Сергеевич</cp:lastModifiedBy>
  <cp:revision>2</cp:revision>
  <dcterms:created xsi:type="dcterms:W3CDTF">2024-08-01T12:14:00Z</dcterms:created>
  <dcterms:modified xsi:type="dcterms:W3CDTF">2024-08-01T12:14:00Z</dcterms:modified>
  <cp:version>786432</cp:version>
</cp:coreProperties>
</file>