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БЛОК-СХЕМА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прохождения административных процедур при предоставлении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муниципальной услуги "Признание садового дома жилым домом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жилого дома садовым домом"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ffffff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Постановления Администрации г. Перми от 06.07.2023 N 585)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60"/>
        <w:gridCol w:w="1267"/>
        <w:gridCol w:w="3912"/>
      </w:tblGrid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Прием, регистрация Заявления с представленными документами - не более 1 рабочего дня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1" name="_x0000_s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1573827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Проверка представленного Заявления с прилагаемыми к нему документами - не более 30 календарных дней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860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2" name="_x0000_s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3151521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0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Проект решения о признании садового дома жилым домом и жилого дома садовым домом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267" w:type="dxa"/>
            <w:vMerge w:val="restart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Проект решения об отказе в предоставлении муниципальной услуги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3860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3" name="_x0000_s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5158277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267" w:type="dxa"/>
            <w:vMerge w:val="continue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4" name="_x0000_s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3761039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5" name="_x0000_s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5435544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Подписание решения о признании садового дома жилым домом и жилого дома садовым домом либо решения об отказе в предоставлении муниципальной услуги - не более 2 календарных дней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6" name="_x0000_s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5492429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Выдача (направление) решения признании садового дома жилым домом и жилого дома садовым домом, решения об отказе в предоставлении муниципальной услуги - не более 3 рабочих дней со дня принятия такого решения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6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2024-09-02T09:57:58Z</dcterms:modified>
</cp:coreProperties>
</file>