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БЛОК-СХЕМА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подуслугам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«Перевод жилого помещения в нежилое помещение» и «Перевод нежилого помещения в жилое помещение»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/>
              <w:t xml:space="preserve">для предоставления муниципальной услуги, – 1 календарный день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2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 19 календарных дней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  <w:t xml:space="preserve">2 календарных дня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br/>
              <w:t xml:space="preserve">2 календарных дня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Выдача (направление)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рабочий день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2025-04-08T11:10:10Z</dcterms:modified>
</cp:coreProperties>
</file>