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«Завершение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переустройства, и (или) перепланировки, и (или) иных работ переводимого помещения»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07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</w:pPr>
            <w:r>
              <w:t xml:space="preserve">Прием и регистрация Уведомле</w:t>
            </w:r>
            <w:r>
              <w:t xml:space="preserve">ния о завершении переустройства</w:t>
            </w:r>
            <w:r>
              <w:t xml:space="preserve"> </w:t>
            </w:r>
            <w:r>
              <w:br/>
              <w:t xml:space="preserve">и (или) перепланировки, и (или) иных работ переводимого помещения</w:t>
            </w:r>
            <w:r>
              <w:br/>
              <w:t xml:space="preserve">с представленными документами либо подготовка проекта решения об отказе </w:t>
            </w:r>
            <w:r>
              <w:t xml:space="preserve">в приеме документов, необходимых для предоставления </w:t>
            </w:r>
            <w:r>
              <w:br/>
              <w:t xml:space="preserve">муниципальной услуги, – 1 календарный день</w:t>
            </w:r>
            <w:r/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2028</wp:posOffset>
                </wp:positionV>
                <wp:extent cx="0" cy="209550"/>
                <wp:effectExtent l="0" t="0" r="0" b="0"/>
                <wp:wrapNone/>
                <wp:docPr id="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61312;mso-wrap-distance-left:9.07pt;mso-wrap-distance-top:0.00pt;mso-wrap-distance-right:9.07pt;mso-wrap-distance-bottom:0.00pt;visibility:visible;" from="244.0pt,0.2pt" to="244.0pt,16.7pt" filled="f" strokecolor="#000000" strokeweight="0.75pt">
                <v:stroke dashstyle="solid"/>
              </v:line>
            </w:pict>
          </mc:Fallback>
        </mc:AlternateContent>
      </w:r>
      <w:r/>
      <w:r/>
      <w:r/>
      <w:r/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результатам их рассмотрения </w:t>
            </w:r>
            <w:r>
              <w:rPr>
                <w:highlight w:val="none"/>
              </w:rPr>
              <w:t xml:space="preserve">– 7 календарных дней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8391</wp:posOffset>
                </wp:positionV>
                <wp:extent cx="0" cy="209550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bevel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2336;mso-wrap-distance-left:9.07pt;mso-wrap-distance-top:0.00pt;mso-wrap-distance-right:9.07pt;mso-wrap-distance-bottom:0.00pt;visibility:visible;" from="244.0pt,0.7pt" to="244.0pt,17.2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</w:r>
            <w:r>
              <w:rPr>
                <w:highlight w:val="none"/>
              </w:rPr>
              <w:t xml:space="preserve">2 календарных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336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336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br/>
              <w:t xml:space="preserve">2 календарных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438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6438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  <w:rPr>
                <w:highlight w:val="none"/>
              </w:rPr>
            </w:pPr>
            <w:r>
              <w:rPr>
                <w:highlight w:val="none"/>
                <w:shd w:val="clear" w:color="ffffff" w:themeColor="background1" w:fill="ffffff" w:themeFill="background1"/>
              </w:rPr>
              <w:t xml:space="preserve">Завершение переустройства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и (или) перепланировки, и (или) иных работ </w:t>
            </w:r>
            <w:r>
              <w:rPr>
                <w:highlight w:val="none"/>
                <w:shd w:val="clear" w:color="ffffff" w:themeColor="background1" w:fill="ffffff" w:themeFill="background1"/>
              </w:rPr>
              <w:br/>
              <w:t xml:space="preserve">переводимого помещения – </w:t>
            </w:r>
            <w:r>
              <w:rPr>
                <w:highlight w:val="none"/>
              </w:rPr>
              <w:t xml:space="preserve">12 календарных дней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6540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  <w:trHeight w:val="620"/>
        </w:trPr>
        <w:tc>
          <w:tcPr>
            <w:tcW w:w="10136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</w:t>
            </w:r>
            <w:r>
              <w:t xml:space="preserve">– </w:t>
            </w:r>
            <w:r>
              <w:br/>
              <w:t xml:space="preserve">1 рабочий день</w:t>
            </w: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2025-04-08T11:15:56Z</dcterms:modified>
</cp:coreProperties>
</file>