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f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 w:bidi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ru-RU" w:bidi="en-US"/>
        </w:rPr>
        <w:t>Первоочередные мероприятия по реализации концепции развития ПГА</w:t>
      </w:r>
    </w:p>
    <w:p>
      <w:pPr>
        <w:tabs>
          <w:tab w:val="left" w:pos="9356"/>
        </w:tabs>
        <w:spacing w:after="0" w:line="240" w:lineRule="auto"/>
        <w:rPr>
          <w:sz w:val="24"/>
        </w:rPr>
      </w:pPr>
    </w:p>
    <w:tbl>
      <w:tblPr>
        <w:tblStyle w:val="af8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627"/>
        <w:gridCol w:w="3450"/>
        <w:gridCol w:w="142"/>
        <w:gridCol w:w="5812"/>
        <w:gridCol w:w="425"/>
        <w:gridCol w:w="1843"/>
        <w:gridCol w:w="567"/>
        <w:gridCol w:w="821"/>
        <w:gridCol w:w="455"/>
      </w:tblGrid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spacing w:before="100" w:beforeAutospacing="1" w:after="100" w:afterAutospacing="1"/>
              <w:ind w:left="0"/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  <w:t>№</w:t>
            </w:r>
          </w:p>
          <w:p>
            <w:pPr>
              <w:pStyle w:val="a9"/>
              <w:spacing w:before="100" w:beforeAutospacing="1" w:after="100" w:afterAutospacing="1"/>
              <w:ind w:left="0"/>
              <w:rPr>
                <w:rStyle w:val="afc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100" w:beforeAutospacing="1" w:after="100" w:afterAutospacing="1"/>
              <w:jc w:val="center"/>
              <w:rPr>
                <w:rStyle w:val="afc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Наименование мероприятия и ответственный исполнитель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100" w:beforeAutospacing="1" w:after="100" w:afterAutospacing="1"/>
              <w:jc w:val="center"/>
              <w:rPr>
                <w:rStyle w:val="afc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Краткое описание, цели, ресурсы, на какие задачи развития ПГА направлены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100" w:beforeAutospacing="1" w:after="100" w:afterAutospacing="1"/>
              <w:jc w:val="center"/>
              <w:rPr>
                <w:rStyle w:val="afc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Требуемые уровни взаимодействия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100" w:beforeAutospacing="1" w:after="100" w:afterAutospacing="1"/>
              <w:jc w:val="center"/>
              <w:rPr>
                <w:rStyle w:val="afc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color w:val="auto"/>
                <w:sz w:val="24"/>
                <w:szCs w:val="24"/>
                <w:lang w:val="ru-RU"/>
              </w:rPr>
              <w:t>Этапы,  год(ы) реализа-ции</w:t>
            </w:r>
          </w:p>
        </w:tc>
      </w:tr>
      <w:tr>
        <w:trPr>
          <w:trHeight w:val="1279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ОРГАНИЗАЦИОННАЯ СФЕРА</w:t>
            </w:r>
          </w:p>
          <w:p>
            <w:pPr>
              <w:pStyle w:val="a9"/>
              <w:ind w:left="360"/>
              <w:jc w:val="center"/>
              <w:rPr>
                <w:rFonts w:ascii="Helvetica" w:eastAsiaTheme="minorHAnsi" w:hAnsi="Helvetica" w:cs="Helvetica"/>
                <w:color w:val="0000FF"/>
                <w:sz w:val="14"/>
                <w:szCs w:val="14"/>
                <w:lang w:val="ru-RU"/>
              </w:rPr>
            </w:pPr>
            <w:r>
              <w:rPr>
                <w:rFonts w:ascii="Helvetica" w:eastAsiaTheme="minorHAnsi" w:hAnsi="Helvetica" w:cs="Helvetica"/>
                <w:color w:val="0000FF"/>
                <w:sz w:val="14"/>
                <w:szCs w:val="14"/>
                <w:lang w:val="ru-RU"/>
              </w:rPr>
              <w:t>(мероприятия и проекты, создающие нормативные и институциональные  условия для управления агломерационными процессами)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  <w:t>создание органов управления ПГА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  <w:t>разработка и мониторинг реализации программных и стратегических документов развития ПГА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  <w:t>инфраструктурно-институциональное обеспечение развития ПГА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  <w:t>развитие нормативно-правовой базы для межмуниципального сотрудничества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14"/>
                <w:lang w:val="ru-RU"/>
              </w:rPr>
              <w:t>методическое обеспечение ПГА</w:t>
            </w:r>
          </w:p>
          <w:p>
            <w:pPr>
              <w:rPr>
                <w:rFonts w:ascii="Helvetica" w:hAnsi="Helvetica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</w:tr>
      <w:tr>
        <w:tc>
          <w:tcPr>
            <w:tcW w:w="627" w:type="dxa"/>
            <w:tcBorders>
              <w:top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Стратегии СЭР Пермской городской агломерации и Плана реализации Стратегии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стратегии социально - экономического развития части территории субъекта Российской Федерации, социально - 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 (в рамках реализации ст.32, п.9 172-ФЗ) и Плана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мероприятий по реализации Стратегии социально-экономического развития части территории субъекта Российской Федерации (ПГА)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</w:tr>
      <w:tr>
        <w:tc>
          <w:tcPr>
            <w:tcW w:w="627" w:type="dxa"/>
            <w:tcBorders>
              <w:top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СТП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ст. 14 ГК как части территории Пермского края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Комплексного инвестиционного плана развития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создание инструмента эффективного управления развитием Пермской городской агломерацией, а также привлечения финансирования со стороны вышестоящих бюджетов при участии частного капитала.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органа управления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поэтапное внедрение системы управления развитием ПГА с участием правительства края:</w:t>
            </w:r>
          </w:p>
          <w:p>
            <w:pPr>
              <w:pStyle w:val="a9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уставных документов;</w:t>
            </w:r>
          </w:p>
          <w:p>
            <w:pPr>
              <w:pStyle w:val="a9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регистрация юридического лица</w:t>
            </w:r>
          </w:p>
          <w:p>
            <w:pPr>
              <w:pStyle w:val="a9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 работы;</w:t>
            </w:r>
          </w:p>
          <w:p>
            <w:pPr>
              <w:pStyle w:val="a9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штатного расписания;</w:t>
            </w:r>
          </w:p>
          <w:p>
            <w:pPr>
              <w:pStyle w:val="a9"/>
              <w:numPr>
                <w:ilvl w:val="0"/>
                <w:numId w:val="35"/>
              </w:num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отбор и прием штатных сотрудников.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Внесение в СТП Пермского края дополнений и изменений в раздел «Пермская городская агломерация»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Выделение границ ПГА и перечня объектов агломерационного и межмуниципального значения, резервирование земель под реализацию агломерационных инвестиционных проектов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региональной программы поддержки ПГА до 2030 года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Координация и участие в управлении развитием ПГА  Правительства Пермского края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государственных программ Пермского края в целях развития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 в государственные программы профильных министерств Пермского края соответствующих разделов о развитии Пермской городской агломерации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принципах софинансирования конкретных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Корректировка инвестиционной стратегии края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выделение инвестиционных проектов с превалирующей агломерационной составляющей  как приоритетных для развития края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2018-2018</w:t>
            </w:r>
          </w:p>
        </w:tc>
      </w:tr>
      <w:tr>
        <w:trPr>
          <w:trHeight w:val="165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текущих документов стратегического планирования муниципальных образований, входящих в состав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стратегии, планы мероприятий, генеральные планы и СТП муниципальных образований в связи с переходом на системную поддержку развития ПГА с учетом предложенной Концепции.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Региональный, 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2018+</w:t>
            </w:r>
          </w:p>
        </w:tc>
      </w:tr>
      <w:tr>
        <w:trPr>
          <w:trHeight w:val="216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Восстановление должности Главного архитектора Пермского края.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единой службы  (офиса) главных архитекторов (край, город, муниципалитеты) для ПГА.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- гармонизировать градостроительную политику для территории агломерации и Пермского края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Заключение соглашений о взаимодействии между муниципалитетами, входящими в ПГА и Правительством Пермского края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координации и взаимодействия при решении ключевых вопросов развития ПГА на период разработки документов стратегического планирования ПГА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совместной инфраструктуры поддержки малого и среднего предпринимательства, особенно для пограничных территорий ПГА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Скорректировать муниципальные и региональную программы поддержки малого и среднего предпринимательства в интересах содействия агломерационному развитию территорий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(возможность получения дополнительного софинансирования федерального бюджета)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выпуск нормативных правовых актов, обеспечивающих развитие городских агломераций на территории Пермского края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регионального закона о городских агломерациях в Пермском крае.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региональных НПА по основным отраслям и сферам развития ПГА.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НПА муниципального уровня по поддержке агломерации, проектов агломерации, межмуниципального сотрудничества.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муниципальных программ "Участие в развитии Пермской городской агломерации"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2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деятельности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Регионального центра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инжиниринга (РЦИ), включая совершенствование системы субконтрактации - как части инфраструктуры и инструментария содействия кооперационным связям крупных, малых и средних предприятий в рамках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Цель: повышение роли субконтрактации в развитии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производственного комплекса агломерируемых территорий с участием малых и средних предприятий.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Важным объектом для совершенствования является Информационная система субконтрактации (участников-предприятий ПГА), которая  предназначена для поиска партнеров для производственной деятельности - поставщиков и заказчиков продукции промышленного назначения, комплектующих, производственных услуг, производственных помещений в рамках территории ПГА (город, район).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Возможно получение софинансирования со стороны ЮНИДО, ЕЭС, российских институтов развития, вышестоящих бюджетов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(возможно привлечение ресурсов федерального уровня и международных организаций)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2017-2019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маркетинговой стратегии, плана мероприятий по продвижению ПГА.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обеспечение узнаваемости ПГА на региональном, федеральном и международном уровнях.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со СМИ по формированию  положительного имиджа в отношении ПГА и ее мероприятий,  обеспечение информированности основных субъектов агломерационного развития, населения.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информационно-коммуникационного портала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продвижение информации о ПГА, обеспечение устойчивой обратной связи с основными стейкхолдерами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Продвижение проекта Федерального закона о развитии агломераций в Российской Федерации совместно с Союзом российских городов, Государственной Думой РФ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ФЗ «О внесении изменений в отдельные законодательные акты Российской Федерации в целях развития межмуниципального сотрудничества» подготовлен Экспертной группой Союза российских городов, проходит предварительную оценку в комитете ГД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360" w:right="-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ПРОИЗВОДСТВЕННАЯ СФЕРА</w:t>
            </w:r>
          </w:p>
          <w:p>
            <w:pPr>
              <w:pStyle w:val="a9"/>
              <w:ind w:left="360"/>
              <w:jc w:val="center"/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  <w:t xml:space="preserve">(инвестиционные проекты и мероприятия, формирующие рабочие места для оптимизации маятниковой миграции, сокращения длительности и дальности перемещений работников и обеспечивающие ускоренное социально-экономическое </w:t>
            </w:r>
            <w:r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  <w:lastRenderedPageBreak/>
              <w:t>развитие периферийных центров расселения)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реализация проектов по модернизации и созданию новых рабочих мест и предприятий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и поддержка малого и среднего бизнеса (производство, услуги) в спальных районах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промышленных кластеров, промышленных/индустриальных зон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формирование и развитие инвестиционных площадок для организации производства в периферийных центрах расселения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кластера "Новая химия" - на базе ФКП "Пермский пороховой завод" и НИИ ПМ , включая проект: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«Реконструкция ФКП "Пермский пороховой завод"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Пермь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Минпром ПК, Минэкономразвития ПК совместно с ИОГВ РФ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 и агломерационном значении: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Рекомендуется развитие промышленного кластера с учетом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развития базового предприятия в комплексе с НИИ ПМ и использованием рабочей силы, привлекаемой из г. Краснокамска и прилегающих территорий.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учет интересов двух муниципалитетов.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реконструкции федерального казенного предприятия "Пермский пороховой завод", в частности,  реконструкция производства смесевого твердого топлива. г. Пермь. В основном – капитальный ремонт здания производственного цикла.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вложений – более 30 млн. рублей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Региональный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2015- 2018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завода по производству бурового инструмента (основные места размещения - г. Пермь, г. Краснокамск) Группа компаний ООО "ПКФ Сокол"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Минэкономразвития ПК при поддержке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Минпром ПК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создание собственного производства  импортозамещающей продукции для нефтяных и газовых компаний на территории города Перми.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компании включен в реестр инвестиционных проектов ПК и города, ведется административное сопровождение проекта. В 2016 году получено распоряжение губернатора Пермского края о получении земельного участка без проведения торгов. Заключен договор аренды земельного участка по ул. Бригадирская, г. Пермь, 26 (6га) – центральная часть города.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вновь создаваемых рабочих мест:   500 чел.  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инвестиций: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1,6 млрд. руб.  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 реализации:   5 лет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периферийных центров размещения производительных сил. Рабочие места для проживающих в городе и потерявших работу с учетом постепенного вывода других предприятий из ядра агломерации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Возможно развитие субконтрактации с предприятиями, находящихся в ПГА.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Региональный 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2012-2017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промышленного кластера «Фотоника».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серийного производства деталей из синтетического кварцевого стекла для изготовления оптических волокон и чувствительных элементов. ООО «ПНППК» и ООО «Инверсия-Серсор»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производства на территории Пермского района.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Компания ООО «ПНППК» и ООО «Инверсия-Серсор», входящие в Пермский инновационный территориальный кластер волоконно-оптических технологий «Фотоника», займутся производством деталей из синтетического кварца.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проекта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 507 млн рублей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Планируется создать высокотехнологичное производство сверхчистого синтетического кварцевого стекла. Из этого материала изготовляют оптические волокна и чувствительные элементы, которые применяются в производстве навигационных приборов для гирокомпасов морских судов, навигационных систем наземных и воздушных подвижных объектов, мониторинговых систем ответственных инженерных сооружений. На сегодняшний день кварц соответствующего качества в России не производится. Потребность производства оптоволокна и чувствительных элементов заданных параметров на 100% покрывается за счет импорта. Реализация проекта позволит полностью снять зависимость от импорта. Экспертным советом Фонда развития промышленности (ФРП) одобрена выдача льготного займа 250 млн. руб.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Предполагает обеспечение подвоза работников из Перми и/или пригородных территорий – формирование периферийного центра размещения производительных сил.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Рост числа жителей ПМР. Создание дополнительных рабочих мест для аккумулирования человеческих ресурсов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Региональный 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производства нового продукта - оптического кабеля, встроенного в грозотрос (ООО Инкаб")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Пермь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производства на территории Пермского района.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2014 году завершилось строительство первой очереди завода по производству оптоволоконного кабеля ООО «Инкаб». Капитальные вложения составили 800 млн. руб., создано 100 рабочих мест. В текущем периоде будет осуществлено строительство второй и третьей очереди, где капитальные вложения составят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800 млн.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rPr>
                <w:rStyle w:val="afc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sz w:val="24"/>
                <w:szCs w:val="24"/>
                <w:lang w:val="ru-RU"/>
              </w:rPr>
              <w:t>Проект компании включен в реестр приоритетных инвестиционных проектов Пермского края и города Перми</w:t>
            </w:r>
          </w:p>
          <w:p>
            <w:pPr>
              <w:rPr>
                <w:rStyle w:val="afc"/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обеспечение подвоза работников из Перми и/или пригородных территорий – формирование периферийного центра размещения производительных сил. Рост числа жителей ПМР. Создание дополнительных рабочих мест для аккумулирования человеческих ресурсов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2013-2027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тепличного комплекса по выращиванию овощных культур I очередь, 15,7 га</w:t>
            </w:r>
          </w:p>
          <w:p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  <w:t>ПМР,  п. Мулянка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сельскохозяйственного производства на территории Пермского района.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(растениеводство, овощеводство (фактическое место размещения Пермский муниципальный район, п. Мулянка, на территории, где ранее планировалось создать «Мулянский свинокомплекс»). 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инвестиций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2837,0 млн руб.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Предполагает обеспечение подвоза работников из Перми и/или пригородных территорий – формирование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периферийного центра. Создание дополнительных рабочих мест для аккумулирования человеческих ресурсов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2016-2021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портфеля приоритетных инвестиционных проектов в сфере освоения лесов.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Лесопромышленный кластер.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проектах: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производств на территории ПГА.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Проект: «Модернизация Пермского домостроительного комбината». ОАО «Пермский домостроительный комбинат»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Проект: «Модернизация бумагоделательной машины «Б-21», модернизация картоноделательной машины «КП-06» и организация лесозаготовок» . ООО «Уралбумага».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Проект: «Мега проект реконструкции фанерного производства»; ООО «Пермский фанерный комбинат»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Проект: «Развитие лесопильного производства на базе ОАО «Пиломатериалы «Красный Октябрь».  ОАО «Пиломатериалы «Красный Октябрь»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Предполагает увеличение транспортных грузоперевозок, сохранение существующих и создание новых рабочих мест.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Рекомендация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изучить возможность консолидации для формирования и юридического оформления, локализации лесопромышленного кластера ПГА с целью привлечения дополнительных финансовых ресурсов на цели расширения производства и модернизации оборудования, привлечения новых технологий и  инвестиций.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индустриального парка “Парма”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  <w:lastRenderedPageBreak/>
              <w:t xml:space="preserve">при участии АО «Корпорация развития Пермского края» </w:t>
            </w:r>
            <w:r>
              <w:rPr>
                <w:rFonts w:ascii="Times New Roman" w:hAnsi="Times New Roman"/>
                <w:i/>
                <w:color w:val="808080" w:themeColor="background1" w:themeShade="80"/>
                <w:szCs w:val="24"/>
                <w:lang w:val="ru-RU"/>
              </w:rPr>
              <w:t>(проект на стадии продвинутой инициативы, но окончательное решение не принято. Рекомендуется к реализации)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Статус: Проект разрабатывается.  Парк должен расположиться на территории бывшего танкового полигона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площадью более 220 га (на границе Перми и Пермского муниципального района – на Восточном обходе). Осваивать данный парк предполагает АО «ОДК-Пермские моторы», который станет якорным арендатором индустриального парка «Парма» и перенесет туда свои производственные мощности. Корпорации развития Пермского края рекомендуется обеспечить административное сопровождение проекта, привлечь для строительства необходимой инфраструктуры целевые инвестиции в размере 250 млн руб. и способствовать размещению на площадке других резидентов парка.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рамках проекта предполагается также оптимизация производственных мощностей АО «ОДК-Пермские моторы» и формирование площадки, привлекательной для бизнеса. На территории парка смогут разместиться АО «ОДК-Пермские моторы» (40 га) и его партнеры и предприятия, специализирующиеся на машиностроении, деревообработке, лакокрасочном, инструментальном, технологическом производствах. В реализацию всего проекта будет инвестировано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 млрд. руб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Благодаря проекту появится около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 тыс. рабочих мест.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данный момент Корпорацией развития получен приказ Минобороны РФ о передаче объектов недвижимого имущества на земельном участке на Восточном обходе в государственную собственность Пермского края.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первоначальных инвестиций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407,5 млн. руб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рабочих мест 17750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Высокое. При реализации будет сформирован один из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самых крупных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периферийных центров ПГА.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Агломерационный при поддержке регионального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федерального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2016-2020+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агропромышленного парка «Пермский» на базе Пермской сельхозакадемии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дальнейшее развитие Учебно-опытного хозяйства «Липовая гора»</w:t>
            </w:r>
          </w:p>
          <w:p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  <w:t>(на стадии разработки)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О проекте: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Пермском муниципальном районе на базе Учхоза «Липовая гора» предполагается создать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агропромышленный парк, объединяющий сельскохозяйственную деятельность, агрохимию, машиностроение, производство готовых пищевых продуктов, складское хозяйство и логистику продовольствия, а также селекцию и фармацевтику. 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проекта сформирует центр притяжения в периферийной части ПГА.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2018-2022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Инвентаризация и пространственное определение  (картирование) существующих промышленно-инвестиционных площадок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(рекомендация)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Минэкономразвития ПК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мероприятии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Проект-рекомендация.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 усиление агломерационных факторов ПГА путем выстраивания эффективной стратегии формирования и освоения инвестиционных площадок в интересах развития агломерации и повышения инвестиционной привлекательности ее территории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Инвентаризацию и пространственное определение существующих инвестиционных площадок рекомендуется осуществлять как составную часть работ, связанных с СТП ПГА. 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системного подхода к развитию агломерации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Инвентаризация существующих и развитие новых производственных (индустриальных) парков/зон.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мероприятии: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Проект-рекомендация для этапа разработки Стратегии ПГА.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 усиление агломерационного строительства ПГА в рамках развития производственной сферы.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Описание: В границах Пермской агломерации сложилось несколько крупных производственных (промышленных зон), где в большом количестве концентрируются производственные предприятия как крупного бизнеса, так и сегмента среднего и малого предпринимательства. Такие зоны имеются в Дзержинском, Свердловском, Орджоникидзевском , Мотовилихинском и других районах.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Целесообразно разработать муниципальную программу, основу которой и базу для принятия управленческих решений должен составить  тщательный анализ ситуации по каждой из таких зон и поиск путей развития таких территорий с учетом интересов агломерационного развития. Целесообразно рассматривать эти территории также в интересах развития сектора малой экономики (малого и среднего предпринимательства).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Тенденция к уходу из центра ядра ПГА промышленных (в городе) и сельскохозяйственных предприятий (в районе) формирует потенциал для развития системы индустриальных парков и инвестиционных площадок по типу «браунфилд». Их особенность заключается в наличии  необходимой инфраструктуры (основных фондов, транспорта, складов, инженерных коммуникаций и т.д.).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Пермь имеет не очень удачный опыт в формировании индустриальных парков. При поддержке Ассоциации индустриальных парков России на территории Перми предполагалось создать индустриальные парки: «Осенцы», «Технопарк Промсвязь», «Пермские моторные заводы», «Галоген», «Морион». Из данного перечня лишь «Осенцы» отвечает заявленным требованиям и успешно функционирует. «Морион» большей частью развивается по типу бизнес-парка. Это объективно требует уделить этому направлению повышенное внимание.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Инвентаризацию индустриальных парков рекомендуется осуществлять как составную часть работ, связанных с СТП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Высокое: позволяет формировать новые центры аккумулирования трудовых ресурсов, решать задачи повышения мобильности и доступности к основным услугам для населения, развить потребительский рынок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Содействие и формирование  льготных условий для вывода предприятий из ядра агломерации на периферию.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мероприятии: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Одним из таких проектов, например, может стать  проект перемещения производственного комплекса завода "Пермские моторы" на границу Перми (Восточный обход).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муниципальном уровне, и по согласованию с региональным уровнем можно предложить для предприятий, имеющих намерения вывести свое производство и освободить промышленные площадки в ядре агломерации, более льготные условия по инфраструктурному, коммунальному обеспечению и аренде.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Высокое: реализация этого мероприятия позволит обеспечить реализацию основной функции ядра агломерации как территории рекреационной, культурно-исторического центра, городского (общественного) пространства, свободной от производственных функций, в частности, вредного производства.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учетом избытка рабочих мест в городе Перми, увеличит сбалансированность системы «рабочие места – кадры» и, следовательно, уменьшит миграционные процессы.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2017-2020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совместной инфраструктуры поддержки бизнеса, особенно для пограничных территорий и ПГА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 мероприятии: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обеспечить стабильное развитие малых и средних предприятий в ПГА (особенно в спальных районах),  с приоритетной поддержкой тех, которые помогают решать задачи и достигать целей развития ПГА (мобильность, услуги, производство потребительских товаров и т.п.)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малого бизнеса, помимо гармонизации расселения, обеспечит доступность и качество услуг населения, снизит миграционные процессы.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Рекомендация: скорректировать муниципальные программы, региональную программу поддержки малого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среднего бизнеса в интересах содействия агломерационному развитию территорий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2017-2021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360" w:right="-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ИНФРАСТРУКТУРНАЯ СФЕРА</w:t>
            </w:r>
          </w:p>
          <w:p>
            <w:pPr>
              <w:pStyle w:val="a9"/>
              <w:ind w:left="360"/>
              <w:jc w:val="center"/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  <w:t>(проекты, создающие инфраструктурные условия для повышения мобильности населения и инвестиционной привлекательности площадок ПГА в соответствии с установленными пространственными приоритетами размещения производительных сил и зон жилой застройки):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устранение перегрузок дорожной сети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 xml:space="preserve">модернизация и развитие транспортной системы, включая </w:t>
            </w:r>
          </w:p>
          <w:p>
            <w:pPr>
              <w:pStyle w:val="a9"/>
              <w:ind w:left="360"/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межмуниципальной сети пассажирского транспорта, ТПУ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обеспечение высокой транзитивности ПГА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обеспечение инженерной и транспортной инфраструктурой инвестиционных площадок на территории ПГА под производственное и жилищное строительство</w:t>
            </w:r>
          </w:p>
          <w:p>
            <w:pPr>
              <w:rPr>
                <w:rFonts w:ascii="Helvetica" w:hAnsi="Helvetica"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оптимальной маршрутной сети и рациональных тарифов пассажироперевозок, введение единых проездных документов для всех категорий граждан.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Цель и 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выравнивание уровня оказываемых транспортных услуг в рамках агломерации и повышение их доступности для жителей пригородных и периферийных территорий</w:t>
            </w:r>
          </w:p>
          <w:p>
            <w:pPr>
              <w:tabs>
                <w:tab w:val="left" w:pos="154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Решает задачи: мобильность населения, равный доступ к услугам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сети автомобильных дорог с учетом строительства нового терминала аэропорта "Большое Савино"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обеспечение транспортной доступности; развитие основных транспортно-логистических комплексов Пермской городской агломерации на базе аэропорта Большое Савино; обеспечение надежного и эффективного транспортного сообщения с этой частью территории агломерации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Высокое: создает условия для повышения мобильности населения и доступа к возможностям центра и периферии, повышает инвестиционную привлекательность территории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2016-2020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нового пассажирского терминала международного аэропорта «Пермь»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нового аэровокзального комплекса. с площадью около 25 тыс. кв. м, пропускной способностью в часы пик – 904 человека и потенциалом обслуживания до 2–3 млн. пассажиров в год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Усилит агломерационные факторы развития территории. Повысит транзитивность ПГА. Устранит перегрузки при ежедневном перемещении населения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2016-2020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транспортно-пересадочного узла на базе ЖД вокзала Пермь II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Реконструкция авто- и железнодорожного вокзалов с  обустройством прилегающей территории. Проект реализуется совместно с ОАО «РЖД».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Этот узел должен быть хорошо интегрирован в систему городского общественного транспорта с эффективным скоростным сегментом, а роль железнодорожного транспорта, проходящего через этот узел, в агломерационных перевозках должна быть усилена.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Усилит агломерационные факторы развития территории. Повысит транзитивность ПГА. Устранит перегрузки при ежедневном перемещении населения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2018-2024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 нового грузового  терминала аэропорта "Большое Савино" с учетом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развития на его базе грузопассажирского логистического центра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увеличение объемов гурзоперевозок, превращение ПГА в транспортный и грузовой хаб, обеспечение занятости и интеграция в транспортную грузовую систему России.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Усилит агломерационные факторы развития территории. Повысит транзитивность ПГА.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Обеспечит транспортно-грузовой инфраструктурой инвестиционные площадки на территории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2017-2024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транспортно-пересадочных узлов (хабов) в пригородах г. Перми, строительство автовокзалов для ограничения въезда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личного автомобильного транспорта в центральную часть (ядро) города Перми и обеспечения пересадки на общественный транспорт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 автовокзалов. Эти узлы должны быть хорошо интегрированы в систему городского общественного транспорта.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Повышение мобильности населения. Увеличение связности между ядром и периферией агломерации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Региональный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2017-2025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Интеграция кустовых селенных мест с  сетью  городского пассажирского транспорта, в том числе  строительство путей для ЛРТ (скоростной трамвай)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пассажирского транспорта, снятие транспортных нагрузок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Предпочтительные направления строительства ЛРТ:  д. Кондратово (Кондратовское сельское поселение) и  д. Большая Мось (Фроловское сельское поселение). Также важным являются создание новых транспортных связей между д. Кондратово Пермского муниципального района и микрорайоном Парковый г. Перми и размещение транспортно-пересадочного узла в районе ул. 5-я Ферма Фроловского сельского поселения с учетом расширения тоннеля под Транссибирской железнодорожной магистралью и увеличения его пропускной способности. Для обеспечения качественной транспортной доступности соседних муниципальных поселений для жителей д. Кондратово необходима организация выездов из д. Кондратово на магистральные дороги «Западный обход г. Перми», а также автодорога от мостового перехода через реку Мулянку до Западного обхода г. Перми, шоссе Космонавтов.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 связность территорий и  выравнивание уровня оказываемых транспортных услуг в рамках агломерации.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Обеспечит транспортную доступность территорий кустовых селенных мест ПГА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 с участием федеральных институтов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2018-2020</w:t>
            </w:r>
          </w:p>
        </w:tc>
      </w:tr>
      <w:tr>
        <w:trPr>
          <w:trHeight w:val="7451"/>
        </w:trPr>
        <w:tc>
          <w:tcPr>
            <w:tcW w:w="627" w:type="dxa"/>
            <w:tcBorders>
              <w:top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>
            <w:pPr>
              <w:tabs>
                <w:tab w:val="left" w:pos="253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транспортных связей между д. Кондратово ПМР и микрорайоном Парковый г. Перми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том числе: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моста через Мулянку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tabs>
                <w:tab w:val="left" w:pos="253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(Минтранс ПК)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 Оптимизация межмуниципальных маршрутов регулярных перевозок в границах Пермской городской агломерации 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 связность территорий и  выравнивание уровня оказываемых транспортных услуг в рамках агломерации.  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 строительства моста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вызвана увеличением численности населения (почти вдвое) в Кондратово за счет массового жилищного строительства. Необходимо строительство моста через Мулянку с выходом на Кондратово на ул. Встречная при одновременном расширении улицы Камской с выходом на Красавинский мост и улицу Водопроводную с выходом на улицу Камскую. Примерный объем необходимых ресурсов – 135 млн.рублей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Мост соединит д. Кондратово (новый микрорайон Медовый) с г. Пермь (м/р Парковый), что позволит существенно повысить мобильность населения и сократить дорогу от Закамска к мкр.Парковый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Несмотря на возможность в настоящее время выезда из Кондратово по ул. Строителей, экспертный прогноз на этом направлении может свидетельствовать о возможном возникновении проблем с перемещением населения и снижении его мобильности.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2018-2019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нового железнодорожного путепровода на участке Транссиб – ул. Героев Хасана с её расширением до 6 полос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(Минтранс ПК)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этом направлении  наблюдаются максимальные показатели интенсивности транспортных потоков. Вдоль ул. Героев Хасана ведется  активная производственно-предпринимательская деятельность и там сложилась достаточно мощная промышленно-складская зона,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включающая такие предприятия как винно-водочный завод, кондитерская фабрика, недействующие молочный и пивоваренный заводы, предприятия химического комплекса (производство упаковки и тары) и многие другие 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Высокое: обеспечит транспортную доступность в одном из «узких» мест транспортных потоков ПГА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инфраструктуры для развития услуг малой региональной авиации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(восстановление) аэродромов и вертолетных площадок для обеспечения перевозок легкомоторным авиационным транспортом и вертолетами (пассажирские перевозки, санитарный транспорт, ГО и ЧС). Важным здесь является строительство инженерных и других объектов в рамках проекта, что будет способствовать развитию этой территории как периферийного центра агломерации.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отвечает федеральным приоритетам и подпадает под критерии федерального софинансирования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транзитивности ПГА, транспортной доступности населения и связности территорий ПК и ПГА.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Возможность федеральной поддержки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моста через реку Чусовую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Действующий мост через реку Чусовую (Камское водохранилище)</w:t>
            </w:r>
            <w:r>
              <w:rPr>
                <w:lang w:val="ru-RU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аходится в Перми и Добрянском районе ПК. Ширина — 12 метров. Протяженность 1598 метров. Часть шоссе Восточный объезд, а/д Пермь — Березники. Расположен непосредственно перед впадением р. Чусовая в р. Кама, в самом конце Камского водохранилища. В 1996 году введен в эксплуатацию в составе автомобильной дороги Пермь — Березники, что позволило кратчайшим путём соединить с областным центром города Верхнекамья.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Сегодня двухполосный мост уже 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справляется с потоком автомобилей, летом в выходные дни перед ним образуются транспортные пробки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проекта по строительству моста через реку Чусовую позволит повысить пропускную способность автомобильных дорог регионального значения ПГА. Это, в свою очередь, приведет к снижению аварийности и повышению безопасности дорожного движения, а также позволит обеспечить социально-экономическое развитие территорий агломерации – Полазны и Добрянки.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2017-2020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 и строительство дорог ПГА в рамках 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комплексного развития транспортной инфраструктуры «Безопасные и качественные дороги Пермской городской агломерации».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уже реализуется. Определены этапы, объекты, ведется мониторинг. 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контексте развития ПГА Программа важна и будет иметь серьезные влияние на формирование агломерации, повышение транспортной доступности и связности территории ПГА.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Рекомендация: на этапе разработки Стратегии провести коррекцию, исходя из выделенных приоритетных периферийных центров.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2017-2025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нового грузопассажирского порта Пермь 3 в районе населенного пункта Берег Камы (ПМР)</w:t>
            </w:r>
          </w:p>
          <w:p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  <w:t>Рекомендация.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инфраструктуры развития грузопассажирских перевозок по р. Кама. Необходимо  уже на этапе разработки Стратегии  осуществить меры по резервированию территории под строительство порта.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транзитности территории, туристско-рекреационного потенциала р. Кама, обеспечение связности территорий ПГА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 межмуници-пального  мусороперераба-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тывающего завода и полигона твердых бытовых отходов в районе д. Софроны Двуреченского сельского поселения ПМР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создать условия для снижения антропогенной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нагрузки на окружающую среду, повысить экологическую безопасность, создать условиях для развития рециклинга. Совместное использование объекта позволяет сэкономить ресурсы и реализовать более качественную, подконтрольную утилизацию.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Важное: сохранение экологии территории ПГУ, уменьшение рисков социальных взрывов по причине возникновения несанкционированной доставки отходов с «чужой» территории и т.п. Повышение инвестиционной привлекательности территории.</w:t>
            </w:r>
          </w:p>
          <w:p>
            <w:pPr>
              <w:pStyle w:val="aa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Рекомендация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Строительство, а также сроки его реализации необходимо синхронизировать с Территориальной схемой обращения с отходами, в том числе с твердыми коммунальными отходами, на территории Пермского края, утвержденной приказом Министерства строительства и жилищно-коммунального хозяйства Пермского края от 09.12.2016 № СЭД-35-01-12-503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 межмуниципальной мусороперегрузочной станции в районе д. Болгары Култаевского сельского поселения Пермского муниципального района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создать условия для снижения антропогенной нагрузки на окружающую среду, повысить экологическую безопасность, создать условия для развития рециклинга. Совместное использование объекта позволяет сэкономить ресурсы и реализовать более качественную, подконтрольную утилизацию.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Важное: сохранение экологии территории ПГУ, уменьшение рисков социальных взрывов по причине возникновения несанкционированной доставки отходов с «чужой» территории и т.п. Повышение инвестиционной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привлекательности территории.</w:t>
            </w:r>
          </w:p>
          <w:p>
            <w:pPr>
              <w:pStyle w:val="aa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Рекомендация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Строительство, а также сроки его реализации необходимо синхронизировать с Территориальной схемой обращения с отходами, в том числе с твердыми коммунальными отходами, на территории Пермского края, утвержденной приказом Министерства строительства и жилищно-коммунального хозяйства Пермского края от 09.12.2016 № СЭД-35-01-12-503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водовода Верх-Сыра – Фролы (как резервный источник водоснабжения в случае ЧС)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создать условия для обеспечения водой г. Перми в случае нарушения водоснабжения с ЧОС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потенциала  (конкурентных преимуществ) ядра агломерации.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кладбища «Восточное» с крематорием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Является перспективным и находится на Сылвенском тракте. Представляет собой единый мемориальный комплекс с крематорием, состоящий из двух постоянно работающих печей. Строится более 10 лет. В проекте предусмотрены административно-бытовой корпус, само кладбище, артезианская скважина, насосная башня, подсобки и гараж на 25 автомобилей. Площадь крематория рассчитана таким образом, чтобы производить порядка 1300 кремаций в год, со всеми сопутствующими обрядовыми услугами для близких и родных. Проектом также предусмотрено устройство колумбария на 15 тыс. ячеек, с возможностью последующего строительства дополнительного колумбария ещё на 20 тыс. ячеек. Необходимы 300 млн. руб. для завершения строительства.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Справка: Из 19 кладбищ города сейчас открыты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захоронения лишь четыре  – «Банная гора», «Заозерское», «Головановское» и «Ново-Лядовское». Еще на семи погостах возможно захоронение усопшего в могилу к родственнику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Снятие напряженности в беспокойстве жителей о качестве питьевой воды у действующих 19 кладбищ.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вопроса местного значения на межмуниципальном уровне 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360" w:right="-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tabs>
                <w:tab w:val="left" w:pos="2267"/>
              </w:tabs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СОЦИАЛЬНАЯ  СФЕРА</w:t>
            </w:r>
          </w:p>
          <w:p>
            <w:pPr>
              <w:pStyle w:val="a9"/>
              <w:ind w:left="360"/>
              <w:jc w:val="center"/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  <w:t>(проекты , обеспечивающие качественные жилищные условия, сокращающие дальность и длительность перемещения людей для получения социальных, потребительских и рекреационных услуг, повышающие их доступность и качество для всех жителей ПГА):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жилищного комплекса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реализация программ расселения ветхого и аварийного жилья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создание и совместное использование объектов социальной инфраструктуры, включая образовательные учреждения, здравоохранение и т.д.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капитальный ремонт многоквартирных домов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потребительского рынка, ТРЦ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реконструкция и строительство объектов общественной безопасности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туризма и рекреации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поддержка социально-ориентированного малого бизнеса</w:t>
            </w:r>
          </w:p>
          <w:p>
            <w:pPr>
              <w:pStyle w:val="a9"/>
              <w:tabs>
                <w:tab w:val="left" w:pos="2267"/>
              </w:tabs>
              <w:ind w:left="360"/>
              <w:rPr>
                <w:rFonts w:ascii="Helvetica" w:hAnsi="Helvetica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Оснащение и открытие диализного центра Fresenius для больных с хронической почечной недостаточностью на территории г. Перми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Подписано инвестиционное соглашение между минэкономики ПК и ООО " ФРЕЗЕНИУС НЕФРОКЕА. ООО «Фрезениус Медикл Кеа Холдинг» является общепризнанным мировым лидером и крупнейшим производителем медицинского оборудования и расходных материалов для заместительной почечной терапии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инвестиций -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 млн.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создание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новых рабочих мест.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учет возможностей по обслуживанию населения территорий ПГА (границы транспортной доступности)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Региональный 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2016-2017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Туристическо-развлекательный территориальный центр (район аэропорта "Фролово" - (Фроловское сельское поселение), охватывает территорию Двуреченского с.п.)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tabs>
                <w:tab w:val="left" w:pos="16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Является перспективным проектом по развитию развлекательного туризма и познавательного досуга, а также спорта для жителей города Перми и периферийных территорий ПГА. Реализация планируется вокруг территории аэропорта «Фролово» (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 базирования спортивной авиации и вертолетов). Основными направлениями будут:  авиамодельный, планерный, парашютный виды спорта, музей авиационной техники под открытым небом, а также строительство нового ипподрома республиканского уровня со всей разветвлённой инфраструктурой в п. Ферма (Двуреченское сельское поселение).</w:t>
            </w:r>
          </w:p>
          <w:p>
            <w:pPr>
              <w:tabs>
                <w:tab w:val="left" w:pos="16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tabs>
                <w:tab w:val="left" w:pos="164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формирование периферийного центра во втором агломерационном поясе, способствует гармонизации расселения, притягивает население. Рядом с п. Ферма строится жилой комплекс. Формирует комплексный проект развития территории 1 агломерационного пояса.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2017-2020+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торговых логистических комплексов и центров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Текущие проекты: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Строительство гипермаркета товаров для строительства и ремонта Leroy Merlin на месте бывшего Пермского ипподрома. На участке в 6,1 Га появится гипермаркет, площадь которого составит 17 тыс. кв.м. Строительство кольцевой развязки рядом с гипермаркетом».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Логистический комплекс «Торговый город» ООО «БауИнвестГрупп» в Култаевском с. п. Объем инвестиций 2,7 млрд.руб. Строится 8 корпусов, парковка на 1 500 автомобилей, стоянка для большегрузов. Для жителей Перми создадут 4 000 рабочих мест (2017-2019)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 Торговый центр "Пермь" в ПМР (ЗАО «Форум- групп»). Екатеринбургская компания, купила два участка в ПГА (9Га-Двуреченское с.п. ПМР, Нестюково и площадку 115 тыс.кв.м. в рамках территории развития в 13 Га во Фролах. Акцент – на развлекательную составляющую (игровые зоны, парк аттракционов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Happylon). Там же : ТРЦ "Радуга Парк" расположится в 12 километрах от центра Перми на пересечении двух крупных магистралей - окружной дороги (Восточный обход) и улицы Героев Хасана (федеральная трасса Пермь-Екатеринбург).7000 кв.м.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Будет улучшенная дорожная сеть и другие коммуникации, создана необходимая инфраструктура.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формирование периферийного центра. Аккумулирует человеческие ресурсы, создает стимулы развития потребительского рынка и т.п.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2017-2023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Инвестиционная программа поддержки создания и развития культурно-развлекательных парков на территориях ПМР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Данная программа – рекомендация по формированию портфеля инвестиционных проектов на этапе разработки Стратегии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Привлечение жителей Перми и Пермского края для отдыха и развлечений в зеленой зоне города Перми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Возможная территориальная локализация в ПМР– 20-25 Га.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Агломерационное значение: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и поддержка эколого-компенсационного пояса агломерации.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2018-2020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и согласовать на межмуниципальном уровне перспективные площадки застройки и их ограничение по площади и высотности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градостроительных документах муниципалитетов, входящих в ПГА.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 мероприятии: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Ограничение неорганизованной застройки, планирование развития дорожной и социальной инфраструктуры в местах согласованной компактной застройки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Обеспечение рационального размещения населения с необходимым качеством жилищных условий и получением доступных социальных услуг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перечень объектов социальной инфраструктуры, необходимой для строительства и реконструкции с учетом развития жилищного строительства и повышения транспортной доступности для жителей ПГА.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мероприятии: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определение перечня объектов социальной инфраструктуры (здравоохранение, образование, физкультура и спорт, культура, общественная безопасность), пространственное размещение которых предполагает обслуживание локальных территорий и ПГА на межмуниципальных принципах. Определение направлений для подключения возможностей малого и среднего бизнеса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Высокое: создание и совместное использование объектов социальной инфраструктуры, включая образовательные учреждения, здравоохранение и т.д.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 и строительство объектов общественной безопасности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проектах:</w:t>
            </w:r>
          </w:p>
          <w:p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 и строительство объектов общественной безопасности;</w:t>
            </w:r>
          </w:p>
          <w:p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пожарного депо на 4 выезда в с. Усть-Качка Пермского муниципального района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пожарного депо на 4 выезда в г. Перми (микрорайон Вышка-2)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безопасности, комфортности для населения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и последующая реализация единой политики муниципальных образований ПГА в сфере охраны окружающей среды, экологии,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оптимального управления природными ресурсами и преумножения природного капитала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Цель: повышение безопасности жизнедеятельности на территории ПГА для бизнеса и населения,    улучшение экологии, улучшение криминогенной ситуации,  предотвращение техногенных и антропогенных угроз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чувства безопасности, комфортности для населения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потребительского рынка на территориях двух муниципальных образований, включая организацию ярмарочных мероприятий по торговле продукцией предприятий  промышленного (г. Пермь) и агропромышленного комплексов (Пермский муниципальный район)  агломерации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–  удовлетворение платежеспособного спроса потребителей предложением достаточного количества и качества разнообразных безопасных потребительских товаров и услуг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Обеспечит сглаживание диспропорций в социальной сфере в ПГА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доступности к качественным услугам в сфере здравоохранения в ПГА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Статус: Рекомендация для этапа разработки Стратегии ПГА и Плана ее реализации.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Определить и поддержать проекты, направленные на развитие системы здравоохранения в условиях агломерации. Скорректировать региональные программы в целях обеспечения доступности к системе здравоохранения местного значения, обеспечить надлежащее, соизмеримое с городским уровнем здравоохранение.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ликвидации этой диспропорции за счет развития Пермской городской агломерации, можно рассчитывать на стабильный рост численности населения на расчетный период Концепции, снижение социальной напряженности среди населения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Агломерационный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360" w:right="-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НАУЧНО-ИННОВАЦИОННАЯ СФЕРА: объекты, на которые следует завести специальные 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>паспорта и выстроить систему государственной/муниципальной поддержки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360" w:right="-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pStyle w:val="a9"/>
              <w:ind w:left="360"/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0000FF"/>
                <w:sz w:val="14"/>
                <w:szCs w:val="24"/>
                <w:lang w:val="ru-RU"/>
              </w:rPr>
              <w:t>(мероприятия и проекты, содействующие развитию современных форм организации и кооперации производств, внедрению инновационных экологически безопасных технологий, а также повышению квалификации и переподготовке специалистов для предотвращения формирования структурной безработицы и территорий устойчивой экономической депрессии, усиливающие инновационную составляющую экономики ПГА):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поддержка развития инновационно-территориальных кластеров, технопарков, бизнес-инкубаторов инновационной направленности;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подготовка, переквалификация или замена кадров под требования технологической модернизации и развития экономики ПГА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развитие инновационной системы ориентированной на развитие ПГА</w:t>
            </w:r>
          </w:p>
          <w:p>
            <w:pPr>
              <w:pStyle w:val="a9"/>
              <w:numPr>
                <w:ilvl w:val="0"/>
                <w:numId w:val="36"/>
              </w:numP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</w:pPr>
            <w:r>
              <w:rPr>
                <w:rFonts w:ascii="Helvetica" w:eastAsiaTheme="minorHAnsi" w:hAnsi="Helvetica" w:cs="Helvetica"/>
                <w:color w:val="353535"/>
                <w:sz w:val="14"/>
                <w:szCs w:val="24"/>
                <w:lang w:val="ru-RU"/>
              </w:rPr>
              <w:t>организация и проведение исследований по приоритетным направлениям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Инновационный территориальный кластер (ИТК) волоконно-оптических технологий    "Фотоника"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О проекте: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Цели: проникновение фотонных технологий в смежные отрасли народного хозяйства за счет диверсификации научно-исследовательских работ и развития производственной̆ кооперации; формирование и поддержание социальной, научно-технологической базы и системы образования для обеспечения качественного скачка в промышленности в области фотоники.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 на базе ОАО «ПНППК».  Ключевая роль - завод «Инкаб» (см.п.21 выше). Предприятия кластера разрабатывают и производят современные системы навигации, маршрутизации и топопривязки, специальный волоконно-оптический кабель, фотонные интегральные микросхемы и волоконно-оптические датчики, лазеры и волоконно-оптические датчики для микрохирургии.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кластера: 47 организаций-участников, среди которых: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- 15 производственных предприятий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- 8 научно-исследовательских институтов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- 2 национальных исследовательских университета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- 8 образовательных учреждений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государственные и муниципальные органы власти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сервисные и некоммерческие компании.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 (производственный потенциал):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ОАО «ПНППК»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«Инкаб»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ОАО «Авиадвигатель»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«ПНППК – Морская электроника» 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«Ростелеком»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показатели деятельности кластера: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- 1,1 млрд. руб. инвестиций в создание новых продуктов за последние 3 года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- 25,5 млрд. руб. ежегодной выручки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- 1,35 млрд. руб. выручки от экспорта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более 9000 рабочих мест, 2700 из них – высокопроизводительные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более 1700 специалистов, занятых исследованиями и разработками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- 2,8 млн. руб. в год - выработка на одного работника.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Высокое. Рассматривается как существенная для ПГА точка агломерационного строительства с высокой инновационной составляющей, имеющей мировое значение и возможности встраивания в глобальные производственные цепочки создания добавленной стоимости.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Рекомендация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в рамках разработки Стратегии ПГА провести анализ формирования кластера с учетом целей и задач ПГА и создания программы усиления его воздействия на агломерационное развитие территории.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Агломерационный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2016 -2020+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Бизнес-инкубатор  по ул. Пушкина 66 г. Пермь для МСП в сфере IT и робототехники (Makerspace)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инновационной системы ПГА.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доступа к бизнес-инкубатору жителей ПГА, развитие сети представительств и проводимых на территории ПГА мероприятий.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Структура специализируется на IT-проектах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робототехнике. Одно из центральных мест в новом бизнес-инкубаторе занимает проект «Мэйкерспейс», реализованный совместно с Пермским национальным исследовательским политехническим университетом (ПНИПУ). «Мэйкерспейс» представляет собой своеобразную мастерскую – креативное пространство для изобретателей и инноваторов. Одна из возможных точек роста, привлечения предпринимателей и, в частности, молодежи к развитию агломерации, усилению ее инновационной составляющей, удержания молодежи на территории ПГА.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2017-2019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Завершение создания инновационного территориаль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ного кластера (ИТК) ракетного двигателестроения «Технополис «Новый Звёздный»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(микрорайон п. Новые Ляды)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fc"/>
                <w:rFonts w:ascii="Times New Roman" w:hAnsi="Times New Roman"/>
                <w:sz w:val="24"/>
                <w:szCs w:val="24"/>
                <w:lang w:val="ru-RU"/>
              </w:rPr>
              <w:t xml:space="preserve">Входит в число 25 пилотных инновационных территориальных кластеров, утвержденных постановлением Правительства Российской Федерации от 6 марта 2013 г. № 188. Создание в Пермском крае кластера направлено на обеспечение стратегических интересов России в области ракетного и авиационного </w:t>
            </w:r>
            <w:r>
              <w:rPr>
                <w:rStyle w:val="afc"/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двигателестроения.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О проекте: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в рамках ИТК производства на территории поселка (бывший пгт) Н.Ляды. Базируется на трёх приоритетных в национальном масштабе промышленных комплексах – ракетное и авиационное двигателестроение, а также энергетическое машиностроение.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Предусматривается строительство новых производственных объектов ОАО «Протон ПМ». Площадь: 46,6 га. Производственная зона ОАО «Протон ПМ» расположена вне селитебной зоны и связана с микрорайоном автодорогой и железнодорожной веткой, используемой только в технологических целях.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Планируемое число новых рабочих мест – 1500 (при существующем количестве работников – 1300).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расчетный период запланировано преобразование микрорайона «Новые Ляды» в технополис «Новый Звёздный», в котором сбалансировано и органично сочетаются высокотехнологичная промышленность, наука и жизненное пространство (процветающие и просторные зоны проживания: новые жилые кварталы, дороги, средства связи и коммуникации).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Кластер объединяет научно-образовательный и производственный потенциал Пермского края. Ключевое место в Кластере занимают ведущие научно-образовательные организации региона: Пермский национальный исследовательский политехнический университет (ПНИПУ), Пермский государственный национальный исследовательский университет (ПГНИУ), Пермский научный центр Уральского отделения Российской академии наук (ПНЦ УрО РАН) и академические институты. 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Наибольшую роль в развитии базовых компетенций ИТК и расширении производственной кооперации играют шесть предприятий: ОАО «Протон-ПМ», АО «Объединенная двигателестроительная корпорация-Пермские моторы», ОАО «Авиадвигатель», ОАО ПЗ «Машиностроитель», ОАО НПО «Искра»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Объем совокупной годовой выручки предприятий кластера – 60 млрд. руб.  (2016) при прогнозе на 2020 – 90 млрд. руб.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Доля работающих на малых предприятиях кластера от общей численности занятости – 16,5% (2016) с прогнозом на 2020 -18%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обеспечение подвоза работников из Перми и/или пригородных территорий, развитие транспортной и дорожной сети, строительство социальной инфраструктуры и жилищное строительство. Формирует периферийный центр с высокой долей инновационной составляющей, качеством человеческого капитала. Является центром аккумулирования человеческих ресурсов, образовательного комплекса для целей усиления инновационной составляющей экономики ПГА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Федеральный Региональный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2015-2020+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Завершение создания Пермского фармацевтического кластера (ПФК),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Кировский район, г. Пермь</w:t>
            </w:r>
          </w:p>
          <w:p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0"/>
                <w:szCs w:val="24"/>
                <w:lang w:val="ru-RU"/>
              </w:rPr>
              <w:t>(ул. Гальперина, Воронежская)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ПФК–кластер – это первый фарм-кластер ПК, вошедший в реестр Минпромторга России. Основная задача 2017 года – формирование заявки кластера на возмещение части затрат при реализации совместных проектов по производству промышленной продукции в целях импортозамещения. Всего в кластер вошло 18 организаций-участников, 10 из которых являются субъектами деятельности в сфере промышленности, осуществляющими производство промышленной продукции. Помимо этого, в кластер входят 4 высших учебных заведения Пермского края, фармацевтическая академия. Якорные предприятия: ЗАО «Медисорб» и ООО «Пермская химическая компания». В результате кооперации участников кластера в Пермском крае создается производство более 15 наименований лекарственных средств и фармацевтических субстанций, входящих в число важнейших и жизненно необходимых и в настоящее время преимущественно импортируемых из-за рубежа.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сумма инвестиций в проекты составит порядка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 млн. руб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Кроме того, реализация совместных проектов предполагает создание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 высокопроизводительных рабочих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на предприятии-инициаторе совместных проектов – ЗАО «Медисорб». 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кооперационные проекты: разработка, внедрение и производство фармацевтических субстанций, производство готовых лекарственных препаратов, проведение фундаментальных и прикладных (в т.ч. доклинических и клинических) исследований в области фармации, биотехнологии, микробиологии.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Важное. Притягивание высококвалифицированной рабочей силы, удержание в городе в пределах ядра и 1 пояса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квалифицированных кадров, усиление инновационной составляющей экономики ПГА, ее технологическая модернизация.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Федеральный Региональный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2017- 2021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a9"/>
              <w:numPr>
                <w:ilvl w:val="0"/>
                <w:numId w:val="28"/>
              </w:numPr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биотехнологического кластера (Проект «Биологическая долина- BIO Valley)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(На стадии замысла)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 проекте: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Предлагается создать биотехнологический кластер, в состав которого войдут: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Пермский федеральный исследовательский центр (в составе Института экологии и генетики микроорганизмов, Института технической химии, Пермского НИИ сельского хозяйства);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Пермская сельскохозяйственная академия, Пермский государственный национальный исследовательский университет, Пермская фармацевтическая академия, Пермский национальный исследовательский политехнический университет;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Организации-участники Пермского фармацевтического кластера;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Вновь построенные академгородок, научный конгресс-холл в районе «Липовая гора» в целях развития Федерального исследовательского центра;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Вновь созданный инновационный индустриальный биотехнологический парк в районе «Липовая гора», с размещением на его территории фармацевтических производств, агрохимических производств, иных производств биотехнологической направленности.</w:t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Агломерационное значение: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технологическое объединение предприятий и организаций, находящихся в г. Перми и Пермском районе. Имеет потенциал интеграции предприятий с периферийных территорий Пермского  края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Агломерационный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2018-2021</w:t>
            </w:r>
          </w:p>
        </w:tc>
      </w:tr>
      <w:t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>
        <w:trPr>
          <w:gridAfter w:val="1"/>
          <w:wAfter w:w="455" w:type="dxa"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a9"/>
              <w:ind w:left="360" w:right="-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Times New Roman" w:hAnsi="Times New Roman"/>
                <w:i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>
      <w:pPr>
        <w:pStyle w:val="MMTopic2"/>
        <w:numPr>
          <w:ilvl w:val="0"/>
          <w:numId w:val="0"/>
        </w:numPr>
        <w:rPr>
          <w:sz w:val="24"/>
          <w:szCs w:val="24"/>
        </w:rPr>
      </w:pPr>
    </w:p>
    <w:p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e"/>
      <w:rPr>
        <w:color w:val="7F7F7F" w:themeColor="text1" w:themeTint="80"/>
      </w:rPr>
    </w:pPr>
  </w:p>
  <w:p>
    <w:pPr>
      <w:pStyle w:val="ae"/>
      <w:rPr>
        <w:color w:val="7F7F7F" w:themeColor="text1" w:themeTint="80"/>
      </w:rPr>
    </w:pPr>
  </w:p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8"/>
      <w:gridCol w:w="5058"/>
    </w:tblGrid>
    <w:tr>
      <w:tc>
        <w:tcPr>
          <w:tcW w:w="5058" w:type="dxa"/>
        </w:tcPr>
        <w:p>
          <w:pPr>
            <w:pStyle w:val="MMNotes"/>
            <w:spacing w:before="0" w:after="0"/>
            <w:rPr>
              <w:color w:val="BFBFBF"/>
            </w:rPr>
          </w:pPr>
          <w:r>
            <w:rPr>
              <w:noProof/>
              <w:color w:val="BFBFBF"/>
            </w:rPr>
            <w:t>Copyright 2016 "АСЭРА”</w:t>
          </w:r>
        </w:p>
      </w:tc>
      <w:tc>
        <w:tcPr>
          <w:tcW w:w="5058" w:type="dxa"/>
        </w:tcPr>
        <w:sdt>
          <w:sdtPr>
            <w:id w:val="-1409148489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text1" w:themeTint="80"/>
            </w:rPr>
          </w:sdtEndPr>
          <w:sdtContent>
            <w:p>
              <w:pPr>
                <w:pStyle w:val="ae"/>
                <w:jc w:val="right"/>
                <w:rPr>
                  <w:color w:val="7F7F7F" w:themeColor="text1" w:themeTint="80"/>
                </w:rPr>
              </w:pPr>
              <w:r>
                <w:rPr>
                  <w:color w:val="7F7F7F" w:themeColor="text1" w:themeTint="80"/>
                </w:rPr>
                <w:fldChar w:fldCharType="begin"/>
              </w:r>
              <w:r>
                <w:rPr>
                  <w:color w:val="7F7F7F" w:themeColor="text1" w:themeTint="80"/>
                </w:rPr>
                <w:instrText>PAGE   \* MERGEFORMAT</w:instrText>
              </w:r>
              <w:r>
                <w:rPr>
                  <w:color w:val="7F7F7F" w:themeColor="text1" w:themeTint="80"/>
                </w:rPr>
                <w:fldChar w:fldCharType="separate"/>
              </w:r>
              <w:r>
                <w:rPr>
                  <w:noProof/>
                  <w:color w:val="7F7F7F" w:themeColor="text1" w:themeTint="80"/>
                </w:rPr>
                <w:t>3</w:t>
              </w:r>
              <w:r>
                <w:rPr>
                  <w:color w:val="7F7F7F" w:themeColor="text1" w:themeTint="80"/>
                </w:rPr>
                <w:fldChar w:fldCharType="end"/>
              </w:r>
            </w:p>
          </w:sdtContent>
        </w:sdt>
      </w:tc>
    </w:tr>
  </w:tbl>
  <w:p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4"/>
      </w:pPr>
      <w:r>
        <w:rPr>
          <w:rStyle w:val="a6"/>
        </w:rPr>
        <w:footnoteRef/>
      </w:r>
      <w:r>
        <w:t xml:space="preserve"> См., например: постановление Правительства Пермского края о включении в госпрограмму Пермского края «Развитие транспортной системы» программы комплексного развития транспортной инфраструктуры «Безопасные и качественные дороги Пермской городской агломерации». Режим доступа: </w:t>
      </w:r>
      <w:hyperlink r:id="rId1" w:history="1">
        <w:r>
          <w:rPr>
            <w:rStyle w:val="ab"/>
          </w:rPr>
          <w:t>http://docs.cntd.ru/document/424077546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6108"/>
    <w:multiLevelType w:val="hybridMultilevel"/>
    <w:tmpl w:val="981A96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BE6757"/>
    <w:multiLevelType w:val="hybridMultilevel"/>
    <w:tmpl w:val="A446B3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D51CCD"/>
    <w:multiLevelType w:val="hybridMultilevel"/>
    <w:tmpl w:val="59BCEBF4"/>
    <w:lvl w:ilvl="0" w:tplc="F564B3E2">
      <w:start w:val="1"/>
      <w:numFmt w:val="bullet"/>
      <w:lvlText w:val="-"/>
      <w:lvlJc w:val="left"/>
      <w:pPr>
        <w:ind w:left="121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F07BF3"/>
    <w:multiLevelType w:val="hybridMultilevel"/>
    <w:tmpl w:val="E3666758"/>
    <w:lvl w:ilvl="0" w:tplc="C9DC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C14E9"/>
    <w:multiLevelType w:val="hybridMultilevel"/>
    <w:tmpl w:val="A85C6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A32C58"/>
    <w:multiLevelType w:val="hybridMultilevel"/>
    <w:tmpl w:val="1E18F788"/>
    <w:lvl w:ilvl="0" w:tplc="A47C978A">
      <w:start w:val="1"/>
      <w:numFmt w:val="bullet"/>
      <w:lvlText w:val="-"/>
      <w:lvlJc w:val="left"/>
      <w:pPr>
        <w:ind w:left="740" w:hanging="38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5905"/>
    <w:multiLevelType w:val="hybridMultilevel"/>
    <w:tmpl w:val="A4EE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E6B7D"/>
    <w:multiLevelType w:val="hybridMultilevel"/>
    <w:tmpl w:val="ADEA62DC"/>
    <w:lvl w:ilvl="0" w:tplc="C9DC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F758D"/>
    <w:multiLevelType w:val="hybridMultilevel"/>
    <w:tmpl w:val="F2FA0D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2D7DA8"/>
    <w:multiLevelType w:val="hybridMultilevel"/>
    <w:tmpl w:val="BBD8C2B4"/>
    <w:lvl w:ilvl="0" w:tplc="352E8A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5219E6"/>
    <w:multiLevelType w:val="hybridMultilevel"/>
    <w:tmpl w:val="852ECE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964EE6"/>
    <w:multiLevelType w:val="hybridMultilevel"/>
    <w:tmpl w:val="107249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4E6177"/>
    <w:multiLevelType w:val="hybridMultilevel"/>
    <w:tmpl w:val="A940AC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E874BF"/>
    <w:multiLevelType w:val="hybridMultilevel"/>
    <w:tmpl w:val="10E47EC6"/>
    <w:lvl w:ilvl="0" w:tplc="C9DC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660A0"/>
    <w:multiLevelType w:val="hybridMultilevel"/>
    <w:tmpl w:val="D5049D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CC7801"/>
    <w:multiLevelType w:val="hybridMultilevel"/>
    <w:tmpl w:val="BA62F2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8F37867"/>
    <w:multiLevelType w:val="hybridMultilevel"/>
    <w:tmpl w:val="90D6F5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231B4B"/>
    <w:multiLevelType w:val="hybridMultilevel"/>
    <w:tmpl w:val="958EF1A6"/>
    <w:lvl w:ilvl="0" w:tplc="C9DC8A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E71430F"/>
    <w:multiLevelType w:val="hybridMultilevel"/>
    <w:tmpl w:val="8EE0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724C8"/>
    <w:multiLevelType w:val="hybridMultilevel"/>
    <w:tmpl w:val="9990A8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0B28E8"/>
    <w:multiLevelType w:val="hybridMultilevel"/>
    <w:tmpl w:val="2A7A0C78"/>
    <w:lvl w:ilvl="0" w:tplc="C9DC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51866"/>
    <w:multiLevelType w:val="hybridMultilevel"/>
    <w:tmpl w:val="8A320154"/>
    <w:lvl w:ilvl="0" w:tplc="F564B3E2">
      <w:start w:val="1"/>
      <w:numFmt w:val="bullet"/>
      <w:lvlText w:val="-"/>
      <w:lvlJc w:val="left"/>
      <w:pPr>
        <w:ind w:left="114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1A21DD"/>
    <w:multiLevelType w:val="hybridMultilevel"/>
    <w:tmpl w:val="C94CF3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013C92"/>
    <w:multiLevelType w:val="hybridMultilevel"/>
    <w:tmpl w:val="BFC229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D62CF0"/>
    <w:multiLevelType w:val="hybridMultilevel"/>
    <w:tmpl w:val="51801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7DB5"/>
    <w:multiLevelType w:val="hybridMultilevel"/>
    <w:tmpl w:val="8752CC88"/>
    <w:lvl w:ilvl="0" w:tplc="EA98786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06810"/>
    <w:multiLevelType w:val="hybridMultilevel"/>
    <w:tmpl w:val="748C9B0A"/>
    <w:lvl w:ilvl="0" w:tplc="F564B3E2">
      <w:start w:val="1"/>
      <w:numFmt w:val="bullet"/>
      <w:lvlText w:val="-"/>
      <w:lvlJc w:val="left"/>
      <w:pPr>
        <w:ind w:left="242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4C5179B"/>
    <w:multiLevelType w:val="multilevel"/>
    <w:tmpl w:val="1134740E"/>
    <w:lvl w:ilvl="0">
      <w:start w:val="2"/>
      <w:numFmt w:val="none"/>
      <w:lvlText w:val="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pStyle w:val="MMTopic4"/>
      <w:suff w:val="space"/>
      <w:lvlText w:val="%1.%2.%3.%4"/>
      <w:lvlJc w:val="left"/>
    </w:lvl>
    <w:lvl w:ilvl="4">
      <w:start w:val="1"/>
      <w:numFmt w:val="decimal"/>
      <w:pStyle w:val="MMTopic5"/>
      <w:suff w:val="space"/>
      <w:lvlText w:val="%1.%2.%3.%4.%5"/>
      <w:lvlJc w:val="left"/>
    </w:lvl>
    <w:lvl w:ilvl="5">
      <w:start w:val="1"/>
      <w:numFmt w:val="decimal"/>
      <w:pStyle w:val="MMTopic6"/>
      <w:suff w:val="space"/>
      <w:lvlText w:val="%1.%2.%3.%4.%5.%6"/>
      <w:lvlJc w:val="left"/>
    </w:lvl>
    <w:lvl w:ilvl="6">
      <w:start w:val="1"/>
      <w:numFmt w:val="decimal"/>
      <w:pStyle w:val="MMTopic7"/>
      <w:suff w:val="space"/>
      <w:lvlText w:val="%1.%2.%3.%4.%5.%6.%7"/>
      <w:lvlJc w:val="left"/>
    </w:lvl>
    <w:lvl w:ilvl="7">
      <w:start w:val="1"/>
      <w:numFmt w:val="decimal"/>
      <w:pStyle w:val="MMTopic8"/>
      <w:suff w:val="space"/>
      <w:lvlText w:val="%1.%2.%3.%4.%5.%6.%7.%8"/>
      <w:lvlJc w:val="left"/>
    </w:lvl>
    <w:lvl w:ilvl="8">
      <w:start w:val="1"/>
      <w:numFmt w:val="decimal"/>
      <w:pStyle w:val="MMTopic9"/>
      <w:suff w:val="space"/>
      <w:lvlText w:val="%1.%2.%3.%4.%5.%6.%7.%8.%9"/>
      <w:lvlJc w:val="left"/>
    </w:lvl>
  </w:abstractNum>
  <w:abstractNum w:abstractNumId="29" w15:restartNumberingAfterBreak="0">
    <w:nsid w:val="655964E7"/>
    <w:multiLevelType w:val="hybridMultilevel"/>
    <w:tmpl w:val="5A24A8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18016F"/>
    <w:multiLevelType w:val="hybridMultilevel"/>
    <w:tmpl w:val="4F9A4B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19E1831"/>
    <w:multiLevelType w:val="hybridMultilevel"/>
    <w:tmpl w:val="9A88BF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5E1B68"/>
    <w:multiLevelType w:val="hybridMultilevel"/>
    <w:tmpl w:val="24EE218A"/>
    <w:lvl w:ilvl="0" w:tplc="C9DC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132745"/>
    <w:multiLevelType w:val="hybridMultilevel"/>
    <w:tmpl w:val="57A860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6CA7C6D"/>
    <w:multiLevelType w:val="hybridMultilevel"/>
    <w:tmpl w:val="4BA465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F02431"/>
    <w:multiLevelType w:val="hybridMultilevel"/>
    <w:tmpl w:val="49FE232C"/>
    <w:lvl w:ilvl="0" w:tplc="C9DC8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3C4D8A"/>
    <w:multiLevelType w:val="hybridMultilevel"/>
    <w:tmpl w:val="C228074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7E16548C"/>
    <w:multiLevelType w:val="hybridMultilevel"/>
    <w:tmpl w:val="8B10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0"/>
  </w:num>
  <w:num w:numId="5">
    <w:abstractNumId w:val="17"/>
  </w:num>
  <w:num w:numId="6">
    <w:abstractNumId w:val="34"/>
  </w:num>
  <w:num w:numId="7">
    <w:abstractNumId w:val="13"/>
  </w:num>
  <w:num w:numId="8">
    <w:abstractNumId w:val="20"/>
  </w:num>
  <w:num w:numId="9">
    <w:abstractNumId w:val="23"/>
  </w:num>
  <w:num w:numId="10">
    <w:abstractNumId w:val="31"/>
  </w:num>
  <w:num w:numId="11">
    <w:abstractNumId w:val="24"/>
  </w:num>
  <w:num w:numId="12">
    <w:abstractNumId w:val="12"/>
  </w:num>
  <w:num w:numId="13">
    <w:abstractNumId w:val="11"/>
  </w:num>
  <w:num w:numId="14">
    <w:abstractNumId w:val="29"/>
  </w:num>
  <w:num w:numId="15">
    <w:abstractNumId w:val="19"/>
  </w:num>
  <w:num w:numId="16">
    <w:abstractNumId w:val="6"/>
  </w:num>
  <w:num w:numId="17">
    <w:abstractNumId w:val="36"/>
  </w:num>
  <w:num w:numId="18">
    <w:abstractNumId w:val="5"/>
  </w:num>
  <w:num w:numId="19">
    <w:abstractNumId w:val="15"/>
  </w:num>
  <w:num w:numId="20">
    <w:abstractNumId w:val="16"/>
  </w:num>
  <w:num w:numId="21">
    <w:abstractNumId w:val="33"/>
  </w:num>
  <w:num w:numId="22">
    <w:abstractNumId w:val="10"/>
  </w:num>
  <w:num w:numId="23">
    <w:abstractNumId w:val="27"/>
  </w:num>
  <w:num w:numId="24">
    <w:abstractNumId w:val="22"/>
  </w:num>
  <w:num w:numId="25">
    <w:abstractNumId w:val="3"/>
  </w:num>
  <w:num w:numId="26">
    <w:abstractNumId w:val="7"/>
  </w:num>
  <w:num w:numId="27">
    <w:abstractNumId w:val="28"/>
  </w:num>
  <w:num w:numId="28">
    <w:abstractNumId w:val="37"/>
  </w:num>
  <w:num w:numId="29">
    <w:abstractNumId w:val="25"/>
  </w:num>
  <w:num w:numId="30">
    <w:abstractNumId w:val="4"/>
  </w:num>
  <w:num w:numId="31">
    <w:abstractNumId w:val="14"/>
  </w:num>
  <w:num w:numId="32">
    <w:abstractNumId w:val="8"/>
  </w:num>
  <w:num w:numId="33">
    <w:abstractNumId w:val="21"/>
  </w:num>
  <w:num w:numId="34">
    <w:abstractNumId w:val="35"/>
  </w:num>
  <w:num w:numId="35">
    <w:abstractNumId w:val="26"/>
  </w:num>
  <w:num w:numId="36">
    <w:abstractNumId w:val="32"/>
  </w:num>
  <w:num w:numId="37">
    <w:abstractNumId w:val="0"/>
  </w:num>
  <w:num w:numId="38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2E7F16-B2BD-4FB3-9EAA-81BD083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before="120" w:after="240"/>
      <w:ind w:left="432" w:hanging="432"/>
      <w:outlineLvl w:val="0"/>
    </w:pPr>
    <w:rPr>
      <w:rFonts w:ascii="Times New Roman" w:eastAsiaTheme="majorEastAsia" w:hAnsi="Times New Roman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" w:eastAsiaTheme="minorHAnsi" w:hAnsi="Times" w:cstheme="minorBid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 w:after="120" w:line="240" w:lineRule="auto"/>
      <w:ind w:left="1701" w:hanging="851"/>
      <w:jc w:val="both"/>
      <w:outlineLvl w:val="3"/>
    </w:pPr>
    <w:rPr>
      <w:rFonts w:ascii="Times New Roman" w:eastAsiaTheme="majorEastAsia" w:hAnsi="Times New Roman"/>
      <w:i/>
      <w:iCs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4">
    <w:name w:val="footnote text"/>
    <w:basedOn w:val="a"/>
    <w:link w:val="a5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нак1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No Spacing"/>
    <w:uiPriority w:val="1"/>
    <w:qFormat/>
    <w:pPr>
      <w:suppressAutoHyphens/>
      <w:spacing w:after="0" w:line="240" w:lineRule="auto"/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uiPriority w:val="9"/>
    <w:rPr>
      <w:rFonts w:ascii="Times" w:hAnsi="Times"/>
      <w:b/>
      <w:bCs/>
      <w:sz w:val="36"/>
      <w:szCs w:val="36"/>
      <w:lang w:eastAsia="ru-RU"/>
    </w:rPr>
  </w:style>
  <w:style w:type="character" w:customStyle="1" w:styleId="w">
    <w:name w:val="w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Pr>
      <w:rFonts w:ascii="Calibri" w:eastAsia="Calibri" w:hAnsi="Calibri" w:cs="Times New Roman"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Subtitle"/>
    <w:basedOn w:val="a"/>
    <w:next w:val="a"/>
    <w:link w:val="af3"/>
    <w:uiPriority w:val="99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pPr>
      <w:spacing w:before="120" w:after="12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Theme="majorEastAsia" w:hAnsi="Times New Roman" w:cs="Times New Roman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before="12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Notes">
    <w:name w:val="MMNotes"/>
    <w:basedOn w:val="a"/>
    <w:qFormat/>
    <w:pPr>
      <w:spacing w:before="120" w:after="120"/>
    </w:pPr>
    <w:rPr>
      <w:rFonts w:asciiTheme="minorHAnsi" w:eastAsiaTheme="minorHAnsi" w:hAnsiTheme="minorHAnsi" w:cstheme="minorBidi"/>
    </w:rPr>
  </w:style>
  <w:style w:type="paragraph" w:customStyle="1" w:styleId="MMTitle">
    <w:name w:val="MMTitle"/>
    <w:basedOn w:val="af5"/>
    <w:link w:val="MMTitleChar"/>
  </w:style>
  <w:style w:type="character" w:customStyle="1" w:styleId="MMTitleChar">
    <w:name w:val="MM Title Char"/>
    <w:basedOn w:val="af6"/>
    <w:link w:val="MM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opic1">
    <w:name w:val="MMTopic1"/>
    <w:basedOn w:val="1"/>
    <w:link w:val="MMTopic1Char"/>
  </w:style>
  <w:style w:type="character" w:customStyle="1" w:styleId="MMTopic1Char">
    <w:name w:val="MM Topic 1 Char"/>
    <w:basedOn w:val="10"/>
    <w:link w:val="MMTopic1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8"/>
    </w:rPr>
  </w:style>
  <w:style w:type="paragraph" w:customStyle="1" w:styleId="MMTopic2">
    <w:name w:val="MMTopic2"/>
    <w:basedOn w:val="2"/>
    <w:link w:val="MMTopic2Char"/>
    <w:pPr>
      <w:keepNext/>
      <w:keepLines/>
      <w:numPr>
        <w:ilvl w:val="1"/>
        <w:numId w:val="27"/>
      </w:numPr>
      <w:spacing w:before="0" w:beforeAutospacing="0" w:after="240" w:afterAutospacing="0" w:line="360" w:lineRule="exact"/>
      <w:ind w:left="1418" w:hanging="567"/>
    </w:pPr>
    <w:rPr>
      <w:rFonts w:ascii="Times New Roman" w:eastAsiaTheme="majorEastAsia" w:hAnsi="Times New Roman" w:cs="Times New Roman"/>
      <w:color w:val="4F81BD" w:themeColor="accent1"/>
      <w:sz w:val="28"/>
      <w:szCs w:val="28"/>
    </w:rPr>
  </w:style>
  <w:style w:type="character" w:customStyle="1" w:styleId="MMTopic2Char">
    <w:name w:val="MM Topic 2 Char"/>
    <w:basedOn w:val="20"/>
    <w:link w:val="MMTopic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  <w:lang w:eastAsia="ru-RU"/>
    </w:rPr>
  </w:style>
  <w:style w:type="paragraph" w:customStyle="1" w:styleId="MMTopic3">
    <w:name w:val="MMTopic3"/>
    <w:basedOn w:val="3"/>
    <w:link w:val="MMTopic3Char"/>
    <w:pPr>
      <w:numPr>
        <w:ilvl w:val="2"/>
        <w:numId w:val="27"/>
      </w:numPr>
      <w:spacing w:before="0" w:after="240" w:line="360" w:lineRule="exact"/>
      <w:ind w:left="1418" w:hanging="720"/>
    </w:pPr>
    <w:rPr>
      <w:rFonts w:ascii="Times New Roman" w:hAnsi="Times New Roman" w:cs="Times New Roman"/>
      <w:sz w:val="28"/>
      <w:szCs w:val="28"/>
    </w:rPr>
  </w:style>
  <w:style w:type="character" w:customStyle="1" w:styleId="MMTopic3Char">
    <w:name w:val="MM Topic 3 Char"/>
    <w:basedOn w:val="30"/>
    <w:link w:val="MMTopic3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customStyle="1" w:styleId="MMTopic4">
    <w:name w:val="MMTopic4"/>
    <w:pPr>
      <w:numPr>
        <w:ilvl w:val="3"/>
        <w:numId w:val="27"/>
      </w:numPr>
      <w:spacing w:after="24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MMTopic5">
    <w:name w:val="MMTopic5"/>
    <w:pPr>
      <w:numPr>
        <w:ilvl w:val="4"/>
        <w:numId w:val="27"/>
      </w:numPr>
      <w:spacing w:after="24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MMTopic6">
    <w:name w:val="MMTopic6"/>
    <w:pPr>
      <w:numPr>
        <w:ilvl w:val="5"/>
        <w:numId w:val="27"/>
      </w:numPr>
      <w:spacing w:after="24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MMTopic7">
    <w:name w:val="MMTopic7"/>
    <w:pPr>
      <w:numPr>
        <w:ilvl w:val="6"/>
        <w:numId w:val="27"/>
      </w:numPr>
      <w:spacing w:after="24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MMTopic8">
    <w:name w:val="MMTopic8"/>
    <w:pPr>
      <w:numPr>
        <w:ilvl w:val="7"/>
        <w:numId w:val="27"/>
      </w:numPr>
      <w:spacing w:after="24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MMTopic9">
    <w:name w:val="MMTopic9"/>
    <w:pPr>
      <w:numPr>
        <w:ilvl w:val="8"/>
        <w:numId w:val="27"/>
      </w:numPr>
      <w:spacing w:after="24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MMStartDate">
    <w:name w:val="MM Start Date"/>
    <w:basedOn w:val="a"/>
    <w:link w:val="MMStartDateChar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MMStartDateChar">
    <w:name w:val="MM Start Date Char"/>
    <w:basedOn w:val="a0"/>
    <w:link w:val="MMStartDate"/>
  </w:style>
  <w:style w:type="paragraph" w:customStyle="1" w:styleId="MMEndDate">
    <w:name w:val="MM End Date"/>
    <w:basedOn w:val="a"/>
    <w:link w:val="MMEndDateChar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MMEndDateChar">
    <w:name w:val="MM End Date Char"/>
    <w:basedOn w:val="a0"/>
    <w:link w:val="MMEndDate"/>
  </w:style>
  <w:style w:type="paragraph" w:customStyle="1" w:styleId="MMPriority">
    <w:name w:val="MM Priority"/>
    <w:basedOn w:val="a"/>
    <w:link w:val="MMPriorityChar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MMPriorityChar">
    <w:name w:val="MM Priority Char"/>
    <w:basedOn w:val="a0"/>
    <w:link w:val="MMPriority"/>
  </w:style>
  <w:style w:type="paragraph" w:customStyle="1" w:styleId="MMPercentComplete">
    <w:name w:val="MM Percent Complete"/>
    <w:basedOn w:val="a"/>
    <w:link w:val="MMPercentCompleteChar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MMPercentCompleteChar">
    <w:name w:val="MM Percent Complete Char"/>
    <w:basedOn w:val="a0"/>
    <w:link w:val="MMPercentComplete"/>
  </w:style>
  <w:style w:type="paragraph" w:customStyle="1" w:styleId="MMResource">
    <w:name w:val="MM Resource"/>
    <w:basedOn w:val="a"/>
    <w:link w:val="MMResourceChar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MMResourceChar">
    <w:name w:val="MM Resource Char"/>
    <w:basedOn w:val="a0"/>
    <w:link w:val="MMResource"/>
  </w:style>
  <w:style w:type="paragraph" w:customStyle="1" w:styleId="MMEmpty">
    <w:name w:val="MM Empty"/>
    <w:basedOn w:val="a"/>
    <w:link w:val="MMEmptyChar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MMEmptyChar">
    <w:name w:val="MM Empty Char"/>
    <w:basedOn w:val="a0"/>
    <w:link w:val="MMEmpty"/>
  </w:style>
  <w:style w:type="paragraph" w:styleId="af7">
    <w:name w:val="TOC Heading"/>
    <w:basedOn w:val="1"/>
    <w:next w:val="a"/>
    <w:uiPriority w:val="39"/>
    <w:unhideWhenUsed/>
    <w:qFormat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426"/>
        <w:tab w:val="right" w:leader="dot" w:pos="9890"/>
      </w:tabs>
      <w:spacing w:before="120" w:after="120"/>
    </w:pPr>
    <w:rPr>
      <w:rFonts w:ascii="Times New Roman" w:eastAsiaTheme="minorHAnsi" w:hAnsi="Times New Roman" w:cstheme="minorBidi"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left" w:pos="820"/>
        <w:tab w:val="right" w:leader="dot" w:pos="9890"/>
      </w:tabs>
      <w:spacing w:before="120" w:after="120"/>
      <w:ind w:left="850" w:hanging="425"/>
      <w:contextualSpacing/>
    </w:pPr>
    <w:rPr>
      <w:rFonts w:ascii="Times New Roman" w:eastAsiaTheme="minorHAnsi" w:hAnsi="Times New Roman" w:cstheme="minorBidi"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pPr>
      <w:tabs>
        <w:tab w:val="left" w:pos="1418"/>
        <w:tab w:val="right" w:leader="dot" w:pos="9890"/>
      </w:tabs>
      <w:spacing w:before="120" w:after="120"/>
      <w:ind w:left="1418" w:hanging="567"/>
      <w:contextualSpacing/>
    </w:pPr>
    <w:rPr>
      <w:rFonts w:ascii="Times New Roman" w:eastAsiaTheme="minorHAnsi" w:hAnsi="Times New Roman" w:cstheme="minorBidi"/>
      <w:noProof/>
      <w:sz w:val="24"/>
    </w:rPr>
  </w:style>
  <w:style w:type="paragraph" w:styleId="41">
    <w:name w:val="toc 4"/>
    <w:basedOn w:val="a"/>
    <w:next w:val="a"/>
    <w:autoRedefine/>
    <w:uiPriority w:val="39"/>
    <w:unhideWhenUsed/>
    <w:pPr>
      <w:tabs>
        <w:tab w:val="left" w:pos="2127"/>
        <w:tab w:val="right" w:leader="dot" w:pos="9890"/>
      </w:tabs>
      <w:spacing w:before="120" w:after="0"/>
      <w:ind w:left="2269" w:hanging="851"/>
      <w:contextualSpacing/>
    </w:pPr>
    <w:rPr>
      <w:rFonts w:ascii="Times New Roman" w:eastAsiaTheme="minorHAnsi" w:hAnsi="Times New Roman" w:cstheme="minorBidi"/>
      <w:noProof/>
      <w:sz w:val="24"/>
    </w:rPr>
  </w:style>
  <w:style w:type="paragraph" w:styleId="51">
    <w:name w:val="toc 5"/>
    <w:basedOn w:val="a"/>
    <w:next w:val="a"/>
    <w:autoRedefine/>
    <w:uiPriority w:val="39"/>
    <w:unhideWhenUsed/>
    <w:pPr>
      <w:spacing w:before="120" w:after="120"/>
      <w:ind w:left="820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autoRedefine/>
    <w:uiPriority w:val="39"/>
    <w:unhideWhenUsed/>
    <w:pPr>
      <w:spacing w:before="120" w:after="120"/>
      <w:ind w:left="1020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autoRedefine/>
    <w:uiPriority w:val="39"/>
    <w:unhideWhenUsed/>
    <w:pPr>
      <w:spacing w:before="120" w:after="120"/>
      <w:ind w:left="1220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autoRedefine/>
    <w:uiPriority w:val="39"/>
    <w:unhideWhenUsed/>
    <w:pPr>
      <w:spacing w:before="120" w:after="120"/>
      <w:ind w:left="1420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autoRedefine/>
    <w:uiPriority w:val="39"/>
    <w:unhideWhenUsed/>
    <w:pPr>
      <w:spacing w:before="120" w:after="120"/>
      <w:ind w:left="1620"/>
    </w:pPr>
    <w:rPr>
      <w:rFonts w:asciiTheme="minorHAnsi" w:eastAsiaTheme="minorHAnsi" w:hAnsiTheme="minorHAnsi" w:cstheme="minorBidi"/>
    </w:rPr>
  </w:style>
  <w:style w:type="table" w:styleId="af8">
    <w:name w:val="Table Grid"/>
    <w:basedOn w:val="a1"/>
    <w:uiPriority w:val="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pPr>
      <w:spacing w:before="120" w:after="120"/>
      <w:ind w:left="720"/>
      <w:contextualSpacing/>
    </w:pPr>
    <w:rPr>
      <w:rFonts w:eastAsia="Times New Roman"/>
      <w:lang w:eastAsia="ru-RU"/>
    </w:rPr>
  </w:style>
  <w:style w:type="paragraph" w:customStyle="1" w:styleId="af9">
    <w:name w:val="Сноска"/>
    <w:basedOn w:val="a"/>
    <w:pPr>
      <w:spacing w:before="120" w:after="0" w:line="200" w:lineRule="exact"/>
      <w:ind w:left="170" w:hanging="17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before="120" w:after="0" w:line="394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Pr>
      <w:rFonts w:ascii="Calibri" w:hAnsi="Calibri" w:cs="Calibri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064123934491004685msolistparagraph">
    <w:name w:val="m_5064123934491004685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paragraph" w:styleId="afe">
    <w:name w:val="table of figures"/>
    <w:basedOn w:val="a"/>
    <w:next w:val="a"/>
    <w:uiPriority w:val="99"/>
    <w:unhideWhenUsed/>
    <w:pPr>
      <w:spacing w:before="120" w:after="0"/>
    </w:pPr>
    <w:rPr>
      <w:rFonts w:ascii="Times New Roman" w:eastAsiaTheme="minorHAnsi" w:hAnsi="Times New Roman" w:cstheme="minorBidi"/>
      <w:sz w:val="24"/>
    </w:rPr>
  </w:style>
  <w:style w:type="character" w:styleId="aff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23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cntd.ru/document/424077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E1ECF-CB88-4F4B-B4BA-E6C2221E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7784</Words>
  <Characters>44374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Стампель Наталья Николаевна</cp:lastModifiedBy>
  <cp:revision>2</cp:revision>
  <dcterms:created xsi:type="dcterms:W3CDTF">2017-12-28T09:34:00Z</dcterms:created>
  <dcterms:modified xsi:type="dcterms:W3CDTF">2017-12-28T09:34:00Z</dcterms:modified>
</cp:coreProperties>
</file>