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август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Автобусная остановка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Наумов Александр Анатольевич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53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0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Аликин Илья Михайлович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1"/>
        <w:gridCol w:w="850"/>
        <w:gridCol w:w="992"/>
        <w:gridCol w:w="709"/>
        <w:gridCol w:w="709"/>
        <w:gridCol w:w="851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Пермская, 46 </w:t>
              <w:br/>
              <w:t xml:space="preserve">(спортивная площадка)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Рудаков Виталий Иванович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</w:t>
              <w:br/>
              <w:t xml:space="preserve">игровые виды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4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Мартьянова Юлия Андреевна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(ОФП)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Бродовское кольцо, 8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Субботин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17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Муравьева Василиса Анатольевна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849"/>
        <w:gridCol w:w="71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Лодочная база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(кроме 22 и 29 августа)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9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Style w:val="834"/>
        <w:tblW w:w="15024" w:type="dxa"/>
        <w:tblInd w:w="-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3109"/>
        <w:gridCol w:w="1984"/>
        <w:gridCol w:w="1843"/>
        <w:gridCol w:w="850"/>
        <w:gridCol w:w="850"/>
        <w:gridCol w:w="850"/>
        <w:gridCol w:w="850"/>
        <w:gridCol w:w="850"/>
        <w:gridCol w:w="709"/>
        <w:gridCol w:w="860"/>
      </w:tblGrid>
      <w:tr>
        <w:tblPrEx/>
        <w:trPr>
          <w:trHeight w:val="1236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31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ул. 40 лет Победы 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Абдуллов Ринат Зарифович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ОФП, самбо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6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295-75-00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169</cp:revision>
  <dcterms:created xsi:type="dcterms:W3CDTF">2022-12-07T05:27:00Z</dcterms:created>
  <dcterms:modified xsi:type="dcterms:W3CDTF">2025-07-28T09:00:41Z</dcterms:modified>
</cp:coreProperties>
</file>