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ИЗВЕЩЕНИЕ</w:t>
      </w:r>
    </w:p>
    <w:p>
      <w:pPr>
        <w:jc w:val="center"/>
        <w:rPr>
          <w:b/>
        </w:rPr>
      </w:pPr>
      <w:r>
        <w:rPr>
          <w:b/>
        </w:rPr>
        <w:t>о начале подготовки проекта нормативно</w:t>
      </w:r>
    </w:p>
    <w:p>
      <w:pPr>
        <w:jc w:val="center"/>
        <w:rPr>
          <w:b/>
        </w:rPr>
      </w:pPr>
      <w:r>
        <w:rPr>
          <w:b/>
        </w:rPr>
        <w:t>правового акта города Перми и</w:t>
      </w:r>
    </w:p>
    <w:p>
      <w:pPr>
        <w:jc w:val="center"/>
        <w:rPr>
          <w:b/>
        </w:rPr>
      </w:pPr>
      <w:r>
        <w:rPr>
          <w:b/>
        </w:rPr>
        <w:t>обсуждении концепции (идеи) предлагаемого проекта нормативно</w:t>
      </w:r>
    </w:p>
    <w:p>
      <w:pPr>
        <w:jc w:val="center"/>
      </w:pPr>
      <w:r>
        <w:rPr>
          <w:b/>
        </w:rPr>
        <w:t>правового акта в форме публичных консультаций</w:t>
      </w:r>
    </w:p>
    <w:p/>
    <w:p>
      <w:pPr>
        <w:pStyle w:val="a5"/>
        <w:ind w:firstLine="708"/>
        <w:jc w:val="both"/>
        <w:rPr>
          <w:b/>
        </w:rPr>
      </w:pPr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 «</w:t>
      </w:r>
      <w:fldSimple w:instr=" DOCPROPERTY  doc_summary  \* MERGEFORMAT ">
        <w:r>
          <w:t xml:space="preserve">О внесении изменений в </w:t>
        </w:r>
      </w:fldSimple>
      <w:r>
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27сентября 2012г. №572», в форме публичных консультаций  в целях проведения оценки регулирующего воздействия проекта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Срок  проведения</w:t>
      </w:r>
      <w:proofErr w:type="gramEnd"/>
      <w:r>
        <w:rPr>
          <w:b w:val="0"/>
        </w:rPr>
        <w:t xml:space="preserve"> публичных консультаций: 3 рабочих дня с даты размещения извещения на официальном сайте.</w:t>
      </w:r>
    </w:p>
    <w:p>
      <w:pPr>
        <w:ind w:right="0" w:firstLine="540"/>
        <w:rPr>
          <w:rFonts w:eastAsiaTheme="minorHAnsi"/>
          <w:szCs w:val="28"/>
          <w:lang w:eastAsia="en-US"/>
        </w:rPr>
      </w:pPr>
      <w:r>
        <w:t xml:space="preserve">Описание концепции (идеи) предлагаемого проекта нормативно правового акта: Проектом предполагается внесение изменений в схему размещения нестационарных торговых объектов на территории города Перми, утвержденную постановлением администрации города Перми от 27.09.2012 №572 </w:t>
      </w:r>
      <w:r>
        <w:rPr>
          <w:szCs w:val="28"/>
        </w:rPr>
        <w:t xml:space="preserve">(в ред. </w:t>
      </w:r>
      <w:r>
        <w:rPr>
          <w:rFonts w:eastAsiaTheme="minorHAnsi"/>
          <w:szCs w:val="28"/>
          <w:lang w:eastAsia="en-US"/>
        </w:rPr>
        <w:t xml:space="preserve">от 31.12.2013 </w:t>
      </w:r>
      <w:hyperlink r:id="rId4" w:history="1">
        <w:r>
          <w:rPr>
            <w:rFonts w:eastAsiaTheme="minorHAnsi"/>
            <w:szCs w:val="28"/>
            <w:lang w:eastAsia="en-US"/>
          </w:rPr>
          <w:t>№ 1281</w:t>
        </w:r>
      </w:hyperlink>
      <w:r>
        <w:rPr>
          <w:rFonts w:eastAsiaTheme="minorHAnsi"/>
          <w:szCs w:val="28"/>
          <w:lang w:eastAsia="en-US"/>
        </w:rPr>
        <w:t xml:space="preserve">, от 11.12.2014 </w:t>
      </w:r>
      <w:hyperlink r:id="rId5" w:history="1">
        <w:r>
          <w:rPr>
            <w:rFonts w:eastAsiaTheme="minorHAnsi"/>
            <w:szCs w:val="28"/>
            <w:lang w:eastAsia="en-US"/>
          </w:rPr>
          <w:t>№ 957</w:t>
        </w:r>
      </w:hyperlink>
      <w:r>
        <w:rPr>
          <w:rFonts w:eastAsiaTheme="minorHAnsi"/>
          <w:szCs w:val="28"/>
          <w:lang w:eastAsia="en-US"/>
        </w:rPr>
        <w:t xml:space="preserve">, от 02.07.2015 </w:t>
      </w:r>
      <w:hyperlink r:id="rId6" w:history="1">
        <w:r>
          <w:rPr>
            <w:rFonts w:eastAsiaTheme="minorHAnsi"/>
            <w:szCs w:val="28"/>
            <w:lang w:eastAsia="en-US"/>
          </w:rPr>
          <w:t>№ 432</w:t>
        </w:r>
      </w:hyperlink>
      <w:r>
        <w:rPr>
          <w:rFonts w:eastAsiaTheme="minorHAnsi"/>
          <w:szCs w:val="28"/>
          <w:lang w:eastAsia="en-US"/>
        </w:rPr>
        <w:t xml:space="preserve">, от 18.09.2015 </w:t>
      </w:r>
      <w:hyperlink r:id="rId7" w:history="1">
        <w:r>
          <w:rPr>
            <w:rFonts w:eastAsiaTheme="minorHAnsi"/>
            <w:szCs w:val="28"/>
            <w:lang w:eastAsia="en-US"/>
          </w:rPr>
          <w:t>№ 654</w:t>
        </w:r>
      </w:hyperlink>
      <w:r>
        <w:rPr>
          <w:rFonts w:eastAsiaTheme="minorHAnsi"/>
          <w:szCs w:val="28"/>
          <w:lang w:eastAsia="en-US"/>
        </w:rPr>
        <w:t xml:space="preserve">, от 05.11.2015 </w:t>
      </w:r>
      <w:hyperlink r:id="rId8" w:history="1">
        <w:r>
          <w:rPr>
            <w:rFonts w:eastAsiaTheme="minorHAnsi"/>
            <w:szCs w:val="28"/>
            <w:lang w:eastAsia="en-US"/>
          </w:rPr>
          <w:t>№ 910</w:t>
        </w:r>
      </w:hyperlink>
      <w:r>
        <w:rPr>
          <w:rFonts w:eastAsiaTheme="minorHAnsi"/>
          <w:szCs w:val="28"/>
          <w:lang w:eastAsia="en-US"/>
        </w:rPr>
        <w:t xml:space="preserve">, от 25.12.2015 </w:t>
      </w:r>
      <w:hyperlink r:id="rId9" w:history="1">
        <w:r>
          <w:rPr>
            <w:rFonts w:eastAsiaTheme="minorHAnsi"/>
            <w:szCs w:val="28"/>
            <w:lang w:eastAsia="en-US"/>
          </w:rPr>
          <w:t xml:space="preserve">№ 1123), </w:t>
        </w:r>
      </w:hyperlink>
      <w:r>
        <w:t xml:space="preserve">в соответствии с п.4.1.4 Порядка </w:t>
      </w:r>
      <w:r>
        <w:rPr>
          <w:rFonts w:eastAsiaTheme="minorHAnsi"/>
          <w:szCs w:val="28"/>
          <w:lang w:eastAsia="en-US"/>
        </w:rPr>
        <w:t>разработки и утверждения схемы размещения нестационарных торговых объектов, утвержденного постановлением Правительства Пермского края от 11.08.2010 №483-п.</w:t>
      </w:r>
    </w:p>
    <w:p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>
        <w:t>@</w:t>
      </w:r>
      <w:proofErr w:type="spellStart"/>
      <w:r>
        <w:rPr>
          <w:lang w:val="en-US"/>
        </w:rPr>
        <w:t>gorodperm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A8B3-9166-4696-B096-D78C5BBC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exact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E61FC018A2DE22359501013BEE2D01270281ED883623E49713B9550B839B743210F72F839F6F94E4B4AO5p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DE61FC018A2DE22359501013BEE2D01270281ED88C663B4F713B9550B839B743210F72F839F6F94E4B4AO5p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E61FC018A2DE22359501013BEE2D01270281ED88F60394A713B9550B839B743210F72F839F6F94E4B4AO5p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DE61FC018A2DE22359501013BEE2D01270281ED782623D43713B9550B839B743210F72F839F6F94E4B4AO5pE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3DE61FC018A2DE22359501013BEE2D01270281ED78A623842713B9550B839B743210F72F839F6F94E4B4AO5pEH" TargetMode="External"/><Relationship Id="rId9" Type="http://schemas.openxmlformats.org/officeDocument/2006/relationships/hyperlink" Target="consultantplus://offline/ref=A3DE61FC018A2DE22359501013BEE2D01270281ED98B67364F713B9550B839B743210F72F839F6F94E4B4AO5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Стампель Наталья Николаевна</cp:lastModifiedBy>
  <cp:revision>2</cp:revision>
  <dcterms:created xsi:type="dcterms:W3CDTF">2016-04-27T12:20:00Z</dcterms:created>
  <dcterms:modified xsi:type="dcterms:W3CDTF">2016-04-27T12:20:00Z</dcterms:modified>
</cp:coreProperties>
</file>