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АДМИНИСТРАЦИЯ ГОРОДА ПЕРМИ</w:t>
      </w: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  <w:r>
        <w:rPr>
          <w:szCs w:val="28"/>
        </w:rPr>
        <w:t>ПОСТАНОВЛЕНИЕ</w:t>
      </w:r>
    </w:p>
    <w:p>
      <w:pPr>
        <w:jc w:val="both"/>
        <w:rPr>
          <w:szCs w:val="28"/>
        </w:rPr>
      </w:pPr>
      <w:r>
        <w:rPr>
          <w:szCs w:val="28"/>
        </w:rPr>
        <w:t>от …  № …</w:t>
      </w: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  <w:r>
        <w:rPr>
          <w:szCs w:val="28"/>
        </w:rPr>
        <w:t>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27.09.2012 № 572</w:t>
      </w:r>
    </w:p>
    <w:p>
      <w:pPr>
        <w:jc w:val="both"/>
        <w:rPr>
          <w:szCs w:val="28"/>
        </w:rPr>
      </w:pPr>
    </w:p>
    <w:p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статьей 10 Федерального закона от 28 декабря 2009 г. № 381-ФЗ «Об основах государственного регулирования торговой деятельности в Российской Федерации», Постановлением Правительства Пермского края от 11 августа 2010 г. № 483-п «Об утверждении Порядка разработки и утверждения схемы размещения нестационарных торговых объектов», решением Пермской городской Думы от 1 марта 2011 г. № 27 «Об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 администрация города Перми постановляет:</w:t>
      </w: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  <w:r>
        <w:rPr>
          <w:szCs w:val="28"/>
        </w:rPr>
        <w:t>1. Утвердить прилагаемые изменения в схему размещения нестационарных торговых объектов на территории города Перми, утвержденную Постановлением администрации города Перми от 27 сентября 2012 г. № 572 (в ред. от 31.12.2013 № 1281, от 11.12.2014 № 957, от 02.07.2015 № 432, от 18.09.2015 № 654, от 05.11.2015 № 910, от 25.12.2015 № 1123, от 29.03.2016 № 207).</w:t>
      </w:r>
    </w:p>
    <w:p>
      <w:pPr>
        <w:jc w:val="both"/>
        <w:rPr>
          <w:szCs w:val="28"/>
        </w:rPr>
      </w:pPr>
      <w:r>
        <w:rPr>
          <w:szCs w:val="28"/>
        </w:rPr>
        <w:t>2. Департаменту экономики и промышленной политики администрации города Перми направить схему размещения нестационарных торговых объектов на территории города Перми в Министерство промышленности, предпринимательства и торговли Пермского края в течение 10 дней с даты вступления в силу настоящего Постановления для размещения на сайте Министерства промышленности, предпринимательства и торговли Пермского края в информационно-телекоммуникационной сети Интернет.</w:t>
      </w:r>
    </w:p>
    <w:p>
      <w:pPr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jc w:val="both"/>
        <w:rPr>
          <w:szCs w:val="28"/>
        </w:rPr>
      </w:pPr>
      <w:r>
        <w:rPr>
          <w:szCs w:val="28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jc w:val="both"/>
        <w:rPr>
          <w:szCs w:val="28"/>
        </w:rPr>
      </w:pPr>
      <w:r>
        <w:rPr>
          <w:szCs w:val="28"/>
        </w:rPr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jc w:val="both"/>
        <w:rPr>
          <w:szCs w:val="28"/>
        </w:rPr>
      </w:pPr>
      <w:r>
        <w:rPr>
          <w:szCs w:val="28"/>
        </w:rPr>
        <w:lastRenderedPageBreak/>
        <w:t>6.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  <w:r>
        <w:rPr>
          <w:szCs w:val="28"/>
        </w:rPr>
        <w:t xml:space="preserve">Глава администрации города Перми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Д.И. САМОЙЛОВ</w:t>
      </w: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</w:p>
    <w:p>
      <w:pPr>
        <w:spacing w:line="240" w:lineRule="exact"/>
        <w:ind w:left="6237"/>
        <w:rPr>
          <w:szCs w:val="28"/>
        </w:rPr>
      </w:pPr>
      <w:r>
        <w:rPr>
          <w:szCs w:val="28"/>
        </w:rPr>
        <w:lastRenderedPageBreak/>
        <w:t>УТВЕРЖДЕНЫ</w:t>
      </w:r>
    </w:p>
    <w:p>
      <w:pPr>
        <w:spacing w:line="240" w:lineRule="exact"/>
        <w:ind w:left="6237"/>
        <w:rPr>
          <w:szCs w:val="28"/>
        </w:rPr>
      </w:pPr>
      <w:r>
        <w:rPr>
          <w:szCs w:val="28"/>
        </w:rPr>
        <w:t>Постановлением</w:t>
      </w:r>
    </w:p>
    <w:p>
      <w:pPr>
        <w:spacing w:line="240" w:lineRule="exact"/>
        <w:ind w:left="6237"/>
        <w:rPr>
          <w:szCs w:val="28"/>
        </w:rPr>
      </w:pPr>
      <w:r>
        <w:rPr>
          <w:szCs w:val="28"/>
        </w:rPr>
        <w:t>администрации города Перми</w:t>
      </w:r>
    </w:p>
    <w:p>
      <w:pPr>
        <w:rPr>
          <w:szCs w:val="28"/>
        </w:rPr>
      </w:pPr>
    </w:p>
    <w:p>
      <w:pPr>
        <w:jc w:val="center"/>
        <w:rPr>
          <w:szCs w:val="28"/>
        </w:rPr>
      </w:pPr>
      <w:r>
        <w:rPr>
          <w:szCs w:val="28"/>
        </w:rPr>
        <w:t>ИЗМЕНЕНИЯ</w:t>
      </w:r>
    </w:p>
    <w:p>
      <w:pPr>
        <w:jc w:val="center"/>
        <w:rPr>
          <w:szCs w:val="28"/>
        </w:rPr>
      </w:pPr>
      <w:r>
        <w:rPr>
          <w:szCs w:val="28"/>
        </w:rPr>
        <w:t>В СХЕМУ РАЗМЕЩЕНИЯ НЕСТАЦИОНАРНЫХ ТОРГОВЫХ ОБЪЕКТОВ</w:t>
      </w:r>
    </w:p>
    <w:p>
      <w:pPr>
        <w:jc w:val="center"/>
        <w:rPr>
          <w:szCs w:val="28"/>
        </w:rPr>
      </w:pPr>
      <w:r>
        <w:rPr>
          <w:szCs w:val="28"/>
        </w:rPr>
        <w:t>НА ТЕРРИТОРИИ ГОРОДА ПЕРМИ, УТВЕРЖДЕННУЮ ПОСТАНОВЛЕНИЕМ</w:t>
      </w:r>
    </w:p>
    <w:p>
      <w:pPr>
        <w:jc w:val="center"/>
        <w:rPr>
          <w:szCs w:val="28"/>
        </w:rPr>
      </w:pPr>
      <w:r>
        <w:rPr>
          <w:szCs w:val="28"/>
        </w:rPr>
        <w:t>АДМИНИСТРАЦИИ ГОРОДА ПЕРМИ ОТ 27.09.2012 N 572</w:t>
      </w:r>
    </w:p>
    <w:p>
      <w:pPr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>1. В текстовой части:</w:t>
      </w:r>
    </w:p>
    <w:p>
      <w:pPr>
        <w:rPr>
          <w:szCs w:val="28"/>
        </w:rPr>
      </w:pPr>
      <w:r>
        <w:rPr>
          <w:szCs w:val="28"/>
        </w:rPr>
        <w:t>1.1. слова «150%» заменить на слова «152,4%»;</w:t>
      </w:r>
    </w:p>
    <w:p>
      <w:pPr>
        <w:jc w:val="both"/>
        <w:rPr>
          <w:szCs w:val="28"/>
        </w:rPr>
      </w:pPr>
      <w:r>
        <w:rPr>
          <w:szCs w:val="28"/>
        </w:rPr>
        <w:t xml:space="preserve">1.2. строки под учетными номерами нестационарного торгового объекта Д-АП-7, Д-К-11, Д-К-6, Д-К-7, Д-КВ-26, Д-КВ-27, Д-КП-14, Д-КП-2, Д-КП-4, Д-П-43, </w:t>
      </w:r>
      <w:r>
        <w:rPr>
          <w:szCs w:val="28"/>
        </w:rPr>
        <w:br/>
        <w:t xml:space="preserve">Д-П-50, Д-П-57, И-АП-21, И-АП-24, И-АП-28, И-АП-29, И-АП-30, И-АП-34, </w:t>
      </w:r>
      <w:r>
        <w:rPr>
          <w:szCs w:val="28"/>
        </w:rPr>
        <w:br/>
        <w:t xml:space="preserve">И-АП-36, И-АП-38, И-К-19, И-К-32, И-К-33, И-К-34, И-К-35, И-К-36, И-К-37, </w:t>
      </w:r>
      <w:r>
        <w:rPr>
          <w:szCs w:val="28"/>
        </w:rPr>
        <w:br/>
        <w:t xml:space="preserve">И-К-38, И-К-39, И-К-40, И-К-41, И-К-42, И-К-43, И-К-44, И-К-45, И-К-46, И-К-47, И-К-48, И-К-49, И-К-50, И-К-51, И-К-52, И-К-53, К-К-39, К-К-41, К-П-4, Л-П-37, Л-П-4, М-К-100, М-К-101, М-К-102, М-К-103, М-К-104, М-К-105, М-К-106, </w:t>
      </w:r>
      <w:r>
        <w:rPr>
          <w:szCs w:val="28"/>
        </w:rPr>
        <w:br/>
        <w:t xml:space="preserve">М-К-107, М-К-108, М-К-109, М-К-21, М-К-54, М-К-55, М-К-56, М-К-57, М-К-58, М-К-59, М-К-60, М-К-61, М-К-62, М-К-63, М-К-64, М-К-65, М-К-66, М-К-67, </w:t>
      </w:r>
      <w:r>
        <w:rPr>
          <w:szCs w:val="28"/>
        </w:rPr>
        <w:br/>
        <w:t xml:space="preserve">М-К-68, М-К-69, М-К-70, М-К-71, М-К-72, М-К-73, М-К-74, М-К-75, М-К-76, </w:t>
      </w:r>
      <w:r>
        <w:rPr>
          <w:szCs w:val="28"/>
        </w:rPr>
        <w:br/>
        <w:t xml:space="preserve">М-К-77, М-К-78, М-К-79, М-К-8, М-К-80, М-К-81, М-К-82, М-К-83, М-К-84, </w:t>
      </w:r>
      <w:r>
        <w:rPr>
          <w:szCs w:val="28"/>
        </w:rPr>
        <w:br/>
        <w:t xml:space="preserve">М-К-85, М-К-86, М-К-87, М-К-88, М-К-89, М-К-90, М-К-91, М-К-92, М-К-93, </w:t>
      </w:r>
      <w:r>
        <w:rPr>
          <w:szCs w:val="28"/>
        </w:rPr>
        <w:br/>
        <w:t xml:space="preserve">М-К-94, М-К-95, М-К-96, М-К-97, М-К-98, М-К-99, М-Л-1, М-П-41, М-П-63, </w:t>
      </w:r>
      <w:r>
        <w:rPr>
          <w:szCs w:val="28"/>
        </w:rPr>
        <w:br/>
        <w:t xml:space="preserve">М-ПЛ-1, С-АП-16, С-АП-22, С-АП-27, С-АП-30, С-АП-33, С-К-26, С-К-33, </w:t>
      </w:r>
      <w:r>
        <w:rPr>
          <w:szCs w:val="28"/>
        </w:rPr>
        <w:br/>
        <w:t>С-К-46, С-К-50, С-П-135, С-П-137, С-П-141, С-П-24, С-П-43, С-П-69 исключить;</w:t>
      </w:r>
    </w:p>
    <w:p>
      <w:pPr>
        <w:jc w:val="both"/>
        <w:rPr>
          <w:szCs w:val="28"/>
        </w:rPr>
      </w:pPr>
      <w:r>
        <w:rPr>
          <w:szCs w:val="28"/>
        </w:rPr>
        <w:t xml:space="preserve">1.3. строки под учетными номерами нестационарного торгового объекта Д-П-13, И-К-22, И-К-67, И-П-75, К-КВ-5, Л-П-3, Л-П-44, С-КП-39, С-П-138, С-П-47, </w:t>
      </w:r>
      <w:r>
        <w:rPr>
          <w:szCs w:val="28"/>
        </w:rPr>
        <w:br/>
        <w:t>С-П-89 изложить в следующей редакции:</w:t>
      </w:r>
    </w:p>
    <w:p>
      <w:pPr>
        <w:jc w:val="both"/>
        <w:rPr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600"/>
        <w:gridCol w:w="1117"/>
        <w:gridCol w:w="1210"/>
        <w:gridCol w:w="2317"/>
        <w:gridCol w:w="570"/>
        <w:gridCol w:w="570"/>
        <w:gridCol w:w="1794"/>
      </w:tblGrid>
      <w:tr>
        <w:trPr>
          <w:trHeight w:val="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Д-П-13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Ветлужская, 46/Ц-2/Д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И-К-22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Мира, 30 / ЦС-2 / 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продовольственные, бытовые услуги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И-К-67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Мира, 102 / Ц-2 / 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хлеб, хлебобулочные и кондитерские изделия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И-П-75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Танкистов, 20 / Ц-1 / 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питание, продовольственные товары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К-КВ-5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Чистопольская, 16 / Ц-2 / К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питьевая вода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Л-П-3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Борчанинова, 15 / Ц-1 / Л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питание, смешанная группа товаров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Л-П-44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Торфяная, 118/Ж-4/Л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С-КП-</w:t>
            </w:r>
            <w:r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ул. Муромская, </w:t>
            </w:r>
            <w:r>
              <w:rPr>
                <w:color w:val="000000"/>
                <w:sz w:val="20"/>
                <w:szCs w:val="20"/>
              </w:rPr>
              <w:lastRenderedPageBreak/>
              <w:t>16а / Ж-1 / С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киоск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печатная продукция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</w:t>
            </w:r>
            <w:r>
              <w:rPr>
                <w:color w:val="000000"/>
                <w:sz w:val="20"/>
                <w:szCs w:val="20"/>
              </w:rPr>
              <w:lastRenderedPageBreak/>
              <w:t>собственность (не разграничена)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С-П-138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Парижской коммуны, 49 / Ц-6 / С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С-П-47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Камчатовская, 26 / Ц-6 / С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питание, продовольственные товары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С-П-89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Революции, 68 / Ц-3 / С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питание, смешанная группа товаров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</w:tbl>
    <w:p>
      <w:pPr>
        <w:jc w:val="both"/>
        <w:rPr>
          <w:szCs w:val="28"/>
          <w:lang w:val="en-US"/>
        </w:rPr>
      </w:pPr>
    </w:p>
    <w:p>
      <w:pPr>
        <w:rPr>
          <w:szCs w:val="28"/>
        </w:rPr>
      </w:pPr>
      <w:r>
        <w:rPr>
          <w:szCs w:val="28"/>
        </w:rPr>
        <w:t>1.4. дополнить строками следующего содержания:</w:t>
      </w:r>
    </w:p>
    <w:p>
      <w:pPr>
        <w:rPr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0"/>
        <w:gridCol w:w="1701"/>
        <w:gridCol w:w="1137"/>
        <w:gridCol w:w="1186"/>
        <w:gridCol w:w="2273"/>
        <w:gridCol w:w="558"/>
        <w:gridCol w:w="558"/>
        <w:gridCol w:w="1764"/>
      </w:tblGrid>
      <w:tr>
        <w:trPr>
          <w:trHeight w:val="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Д-К-47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Парковый, 14 / Ж-1 / 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хлеб, хлебобулочные и кондитерские изделия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Д-К-48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Овчинникова, 16 / Ж-1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r>
              <w:rPr>
                <w:sz w:val="20"/>
                <w:szCs w:val="20"/>
              </w:rPr>
              <w:lastRenderedPageBreak/>
              <w:t>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Д-Л-20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Д-Л-23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Д-Л-24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Д-Л-25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Д-Л-26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Д-Л-27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Д-Л-28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Д-Л-29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Д-Л-39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Красноборская, </w:t>
            </w:r>
            <w:r>
              <w:rPr>
                <w:sz w:val="20"/>
                <w:szCs w:val="20"/>
              </w:rPr>
              <w:lastRenderedPageBreak/>
              <w:t>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рассада цветов; цветы искусственные, листья </w:t>
            </w:r>
            <w:r>
              <w:rPr>
                <w:sz w:val="20"/>
                <w:szCs w:val="20"/>
              </w:rPr>
              <w:lastRenderedPageBreak/>
              <w:t>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>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Д-Л-40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Д-Л-41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Д-Л-42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Д-Л-45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Д-Л-46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Д-Л-47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Д-Л-48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Д-Л-49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Д-Л-50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рассада цветов; цветы искусственные, листья и фрукты, и их части; цветы срезанные и </w:t>
            </w:r>
            <w:r>
              <w:rPr>
                <w:sz w:val="20"/>
                <w:szCs w:val="20"/>
              </w:rPr>
              <w:lastRenderedPageBreak/>
              <w:t>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Д-Л-54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Д-Л-55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Д-Л-56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Д-Л-57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Д-Л-9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 / С-4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рассада цветов; цветы искусственные, листья и фрукты, и их части; цветы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Д-П-64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Парковый, 13 / Ц-2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Д-П-65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Рыночная, 2 / Ц-2 / 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И-П-117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Семченко, 13 / Ж-2 / 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К-П-52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Ласьвинская, 32 / Ц-6 / 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нефтепродукты; части и принадлежности для автотранспортных средств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К-П-53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Сысольская, 17 / Ц-6 / 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нефтепродукты; части и принадлежности для автотранспортных средств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Л-АМ-1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66а / Ц-1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автомагазин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 натуральный; молоко и молочная продукция; мясо и мясная пищевая продукция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Л-П-53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Борчанинова, 65 / Ц-1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Л-П-54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Екатерининская, 53 / Ц-2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Л-П-55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66 / Ц-1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Л-П-56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66 / Ц-1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Л-П-57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82 / Ц-1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М-АМ-1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Гашкова, 19а / Ц-2 / 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автомагазин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 натуральный; молоко и молочная продукция; мясо и мясная пищевая продукция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М-К-123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Крупской, 80а / Ж-1 / 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М-П-93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Лядовская / Ж-2 / 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М-П-94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Юрша, 54 / Ж-1 / 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М-П-95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Юрша, 74 / Ж-1 / 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О-КП-18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Цимлянская, 9 / Ц-2 / О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печатная продукция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О-П-16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Александра Щербакова, 39 / Ц-2 / О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и мясная пищевая продукция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С-К-68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Глеба Успенского, 22 / Ж-1 / С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С-П-142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Муромская, 16а / Ж-1 / С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С-П-143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Солдатова, 29/3 / Ж-1 / С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собственность (не </w:t>
            </w:r>
            <w:r>
              <w:rPr>
                <w:sz w:val="20"/>
                <w:szCs w:val="20"/>
              </w:rPr>
              <w:lastRenderedPageBreak/>
              <w:t>разграничена)</w:t>
            </w:r>
          </w:p>
        </w:tc>
      </w:tr>
    </w:tbl>
    <w:p>
      <w:pPr>
        <w:rPr>
          <w:szCs w:val="28"/>
        </w:rPr>
      </w:pPr>
    </w:p>
    <w:p>
      <w:pPr>
        <w:jc w:val="both"/>
        <w:rPr>
          <w:szCs w:val="28"/>
        </w:rPr>
      </w:pPr>
      <w:r>
        <w:rPr>
          <w:szCs w:val="28"/>
        </w:rPr>
        <w:t>1.5. после слов "Нестационарные торговые объекты:" дополнить абзацем следующего содержания «АМ - автомагазин;».</w:t>
      </w:r>
    </w:p>
    <w:p>
      <w:pPr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>2. Графическую часть изложить в редакции согласно приложению.</w:t>
      </w:r>
    </w:p>
    <w:p>
      <w:pPr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>3. В Приложении к графической части</w:t>
      </w:r>
    </w:p>
    <w:p>
      <w:pPr>
        <w:jc w:val="both"/>
        <w:rPr>
          <w:szCs w:val="28"/>
        </w:rPr>
      </w:pPr>
      <w:r>
        <w:rPr>
          <w:szCs w:val="28"/>
        </w:rPr>
        <w:t xml:space="preserve">3.1. строки под учетными номерами нестационарного торгового объекта Д-АП-7, Д-К-11, Д-К-6, Д-К-7, Д-КВ-26, Д-КВ-27, Д-КП-14, Д-КП-2, Д-КП-4, Д-П-43, </w:t>
      </w:r>
      <w:r>
        <w:rPr>
          <w:szCs w:val="28"/>
        </w:rPr>
        <w:br/>
        <w:t xml:space="preserve">Д-П-50, Д-П-57, И-АП-21, И-АП-24, И-АП-28, И-АП-29, И-АП-30, И-АП-34, </w:t>
      </w:r>
      <w:r>
        <w:rPr>
          <w:szCs w:val="28"/>
        </w:rPr>
        <w:br/>
        <w:t xml:space="preserve">И-АП-36, И-АП-38, И-К-19, И-К-32, И-К-33, И-К-34, И-К-35, И-К-36, И-К-37, </w:t>
      </w:r>
      <w:r>
        <w:rPr>
          <w:szCs w:val="28"/>
        </w:rPr>
        <w:br/>
        <w:t xml:space="preserve">И-К-38, И-К-39, И-К-40, И-К-41, И-К-42, И-К-43, И-К-44, И-К-45, И-К-46, И-К-47, И-К-48, И-К-49, И-К-50, И-К-51, И-К-52, И-К-53, К-К-39, К-К-41, К-П-4, Л-П-37, Л-П-4, М- К-100, М-К-101, М-К-102, М-К-103, М-К-104, М-К-105, М-К-106, </w:t>
      </w:r>
      <w:r>
        <w:rPr>
          <w:szCs w:val="28"/>
        </w:rPr>
        <w:br/>
        <w:t xml:space="preserve">М-К-107, М-К-108, М-К-109, М-К-21, М-К-54, М-К-55, М-К-56, М-К-57, М-К-58, М-К-59, М-К-60, М-К-61, М-К-62, М-К-63, М-К-64, М-К-65, М-К-66, М-К-67, </w:t>
      </w:r>
      <w:r>
        <w:rPr>
          <w:szCs w:val="28"/>
        </w:rPr>
        <w:br/>
        <w:t xml:space="preserve">М-К-68, М-К-69, М-К-70, М-К-71, М-К-72, М-К-73, М-К-74, М-К-75, М-К-76, </w:t>
      </w:r>
      <w:r>
        <w:rPr>
          <w:szCs w:val="28"/>
        </w:rPr>
        <w:br/>
        <w:t xml:space="preserve">М-К-77, М-К-78, М-К-79, М-К-8, М-К-80, М-К-81, М-К-82, М-К-83, М-К-84, </w:t>
      </w:r>
      <w:r>
        <w:rPr>
          <w:szCs w:val="28"/>
        </w:rPr>
        <w:br/>
        <w:t xml:space="preserve">М-К-85, М-К-86, М-К-87, М-К-88, М-К-89, М-К-90, М-К-91, М-К-92, М-К-93, </w:t>
      </w:r>
      <w:r>
        <w:rPr>
          <w:szCs w:val="28"/>
        </w:rPr>
        <w:br/>
        <w:t xml:space="preserve">М-К-94, М-К-95, М-К-96, М-К-97, М-К-98, М-К-99, М-Л-1, М-П-41, М-П-63, </w:t>
      </w:r>
      <w:r>
        <w:rPr>
          <w:szCs w:val="28"/>
        </w:rPr>
        <w:br/>
        <w:t xml:space="preserve">М-ПЛ-1, С-АП-16, С-АП-22, С-АП-27, С-АП-30, С-АП-33, С-К-26, С-К-33, </w:t>
      </w:r>
      <w:r>
        <w:rPr>
          <w:szCs w:val="28"/>
        </w:rPr>
        <w:br/>
        <w:t>С-К-46, С-К-50, С-П-135, С-П-137, С-П-141, С-П-24, С-П-43, С-П-69 исключить;</w:t>
      </w:r>
    </w:p>
    <w:p>
      <w:pPr>
        <w:jc w:val="both"/>
        <w:rPr>
          <w:szCs w:val="28"/>
        </w:rPr>
      </w:pPr>
      <w:r>
        <w:rPr>
          <w:szCs w:val="28"/>
        </w:rPr>
        <w:t>3.2. строки под учетными номерами нестационарного торгового объекта Д-П-13, И-К-22, К-КВ-5, Л-П-44, М-КП-9, О-КВ-8, С-К-25, С-КВ-25, С-КП-39, С-П-138 изложить в следующей редакции:</w:t>
      </w:r>
    </w:p>
    <w:p>
      <w:pPr>
        <w:jc w:val="both"/>
        <w:rPr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49"/>
        <w:gridCol w:w="3261"/>
        <w:gridCol w:w="1701"/>
        <w:gridCol w:w="1134"/>
        <w:gridCol w:w="1417"/>
        <w:gridCol w:w="1418"/>
      </w:tblGrid>
      <w:tr>
        <w:trPr>
          <w:trHeight w:val="2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Д-П-13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Ветлужская, 46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-7793,8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3031,24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3034,41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-7803,21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3029,87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-7795,69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3026,71</w:t>
            </w:r>
          </w:p>
        </w:tc>
      </w:tr>
      <w:tr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И-К-22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Мира, 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-3965,78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-2427,07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-3961,42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-2423,58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-3959,46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-2421,14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-3963,83</w:t>
            </w:r>
          </w:p>
        </w:tc>
      </w:tr>
      <w:tr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К-КВ-5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Чистопольская, 16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-17587,62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-2073,43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-2071,71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-17588,13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-2070,46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-17588,51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-2072,65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-17590,34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-2070,93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-17589,82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-2072,4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-17586,84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-2072,46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-17589,38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-2070,04</w:t>
            </w:r>
          </w:p>
        </w:tc>
      </w:tr>
      <w:tr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Л-П-44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Торфяная, 118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-1063,11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1446,27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-1053,95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1439,24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-1059,56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1436,95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-1057,48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1448,53</w:t>
            </w:r>
          </w:p>
        </w:tc>
      </w:tr>
      <w:tr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М-КП-9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Гашкова, 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5228,53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5228,76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5230,41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5226,87</w:t>
            </w:r>
          </w:p>
        </w:tc>
      </w:tr>
      <w:tr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О-КВ-8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Маршала Толбухина, 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9355,24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9356,82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9357,16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9358,74</w:t>
            </w:r>
          </w:p>
        </w:tc>
      </w:tr>
      <w:tr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С-К-25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Краснополянская, 38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-4601,68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-4602,99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-4603,72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-4600,95</w:t>
            </w:r>
          </w:p>
        </w:tc>
      </w:tr>
      <w:tr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С-КВ-25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Революции, 9а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-1051,86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-1054,65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-1053,69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-1052,82</w:t>
            </w:r>
          </w:p>
        </w:tc>
      </w:tr>
      <w:tr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С-КП-39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Муромская, 16а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-5058,14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-5060,42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-5056,87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-5059,08</w:t>
            </w:r>
          </w:p>
        </w:tc>
      </w:tr>
      <w:tr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С-П-138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Парижской коммуны, 49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-1623,58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-1604,34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-1601,71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-1600,3</w:t>
            </w:r>
          </w:p>
        </w:tc>
      </w:tr>
      <w:tr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-1626,9</w:t>
            </w:r>
          </w:p>
        </w:tc>
      </w:tr>
    </w:tbl>
    <w:p>
      <w:pPr>
        <w:jc w:val="both"/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>3.3. дополнить строками следующего содержания:</w:t>
      </w:r>
    </w:p>
    <w:p>
      <w:pPr>
        <w:rPr>
          <w:szCs w:val="28"/>
        </w:rPr>
      </w:pP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1242"/>
        <w:gridCol w:w="3261"/>
        <w:gridCol w:w="1701"/>
        <w:gridCol w:w="1134"/>
        <w:gridCol w:w="1417"/>
        <w:gridCol w:w="1418"/>
      </w:tblGrid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Д-К-47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Парковый, 14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-5253,23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-2182,05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-5252,87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-2184,39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-5256,64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-2182,56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-5256,27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-2184,91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Д-К-48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Овчинникова, 16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-393,63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-2411,42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-395,78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-2412,68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-391,6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-2414,89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-393,76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-2416,15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Д-Л-1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-6277,79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5331,52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-6277,33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5328,44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-6276,78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5331,34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-6278,33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5328,63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Д-Л-10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-6282,76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5305,28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-6283,3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5302,39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-6282,3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5302,2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-6281,75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5305,1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Д-Л-11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-6283,84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5299,47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-6283,3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5302,36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-6282,29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5302,18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-6282,84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5299,28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Д-Л-12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-6285,1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5296,57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-6282,94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5298,63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-6283,6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5299,39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-6285,77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5297,32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Д-Л-13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-6286,12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5296,48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-6289,04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5297,05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-6285,92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5297,46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-6288,84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5298,04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Д-Л-14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-6289,29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5297,12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-6292,21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-6289,09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5298,1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-6292,01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5298,68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Д-Л-15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-6292,21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5298,72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-6292,41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5297,74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-6295,33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5298,31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-6295,13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5299,3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Д-Л-16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-6298,23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5299,91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-6295,31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5299,33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-6298,43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5298,92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-6295,51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5298,35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Д-Л-17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-6298,37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5299,94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-6301,49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5299,53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-6298,57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5298,96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-6301,29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5300,52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Д-Л-18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-6304,36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5301,13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-6301,64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5299,57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-6301,44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5300,55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-6304,56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5300,14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Д-Л-19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-6307,66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5300,75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-6307,46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5301,74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-6304,74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5300,18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-6304,54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5301,16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Д-Л-2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-6278,88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5325,73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-6277,88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5325,54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-6277,33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5328,44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-6278,34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5328,62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Д-Л-20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-6310,75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5301,36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-6307,83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5300,79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-6307,63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5301,77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-6310,55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5302,35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Д-Л-21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-6310,77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5302,39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-6313,69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5302,97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-6313,89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5301,98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-6310,97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5301,41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Д-Л-22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-6315,62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5304,24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-6314,07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5306,95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-6315,08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5307,13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-6314,62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5304,05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Д-Л-23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-6314,51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5310,11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-6314,05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5307,03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-6313,5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5309,93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-6315,05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5307,22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Д-Л-24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-6314,49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5310,18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-6312,94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5312,89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-6313,49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5309,99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-6313,95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5313,07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Д-Л-25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-6313,92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5313,13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-6312,92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5312,94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-6313,38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5316,02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-6312,37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5315,84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Д-Л-26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-6312,81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5318,98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-6313,35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5316,09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-6312,35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5315,9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-6311,8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5318,8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Д-Л-27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-6312,49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5320,86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-6311,95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5323,75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-6311,49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5320,67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-6310,94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5323,57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Д-Л-28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-6311,94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5323,86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-6310,39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5326,57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-6310,94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5323,67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-6311,4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5326,75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Д-Л-29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5326,65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-6310,86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5329,73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-6309,85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5329,55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-6311,4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5326,84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-6278,89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5325,71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-6278,43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5322,63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-6279,43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5322,82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-6277,88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5325,53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Д-Л-30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-6310,86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5329,84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-6309,31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5332,55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-6310,32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5332,73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-6309,86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5329,65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Д-Л-31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-6308,76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5335,58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-6310,31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5332,87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-6309,77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5335,76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-6309,31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5332,68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Д-Л-32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-6311,64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5336,24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-6308,52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5336,65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-6311,44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5337,23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-6308,72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5335,67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Д-Л-33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-6311,55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5337,27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-6314,67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5336,86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-6311,75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5336,29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-6314,47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5337,85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Д-Л-34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-6291,66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5304,18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-6289,72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-6291,86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5303,19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-6289,92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5302,81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Д-Л-35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-6293,97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5303,58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-6293,77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5304,58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-6291,83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-6292,03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Д-Л-36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-6296,07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5303,97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-6295,87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5304,97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-6293,93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5304,59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-6294,13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5303,59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Д-Л-37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-6296,31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5304,02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-6298,05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-6298,25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-6296,11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5305,02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Д-Л-38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-6300,24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5305,84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-6300,44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5304,84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-6298,5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5304,46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-6298,3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5305,46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Д-Л-39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5305,88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5304,88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-6302,34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5306,26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-6302,54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5305,26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Д-Л-4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-6279,98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5319,91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-6278,43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5322,62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-6278,98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5319,72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-6279,44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5322,8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Д-Л-40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-6304,65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5305,68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-6302,51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-6304,45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5306,68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-6302,71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5305,3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Д-Л-41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-6304,83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5305,73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-6304,63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5306,73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-6306,57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5307,11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-6306,77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5306,11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Д-Л-42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-6291,14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5307,56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-6289,4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5306,18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-6289,2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5307,18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-6291,34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5306,56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Д-Л-43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-6291,28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5307,58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-6293,42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5306,96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-6293,22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5307,96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-6291,48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5306,58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Д-Л-44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-6293,38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5307,97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-6295,32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5308,35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-6295,52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5307,35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-6293,58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5306,97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Д-Л-45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-6295,49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5308,36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-6297,43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5308,74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-6297,63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5307,74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-6295,69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5307,36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Д-Л-46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-6299,59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5309,19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-6297,65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5308,81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-6299,79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5308,19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-6297,85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5307,81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Д-Л-47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-6299,8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-6301,74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5309,58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-6301,94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5308,58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Д-Л-48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-6302,09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5308,64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-6301,89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5309,64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-6304,03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5309,02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-6303,83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5310,02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Д-Л-49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-6305,89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5310,47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-6303,95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5310,09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-6306,09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5309,47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-6304,15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5309,09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Д-Л-5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-6279,53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5316,81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-6279,99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5319,89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-6280,53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-6278,98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5319,71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Д-Л-50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-6288,64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5310,48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-6290,58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5310,86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-6288,84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5309,48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-6290,78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5309,86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Д-Л-51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-6292,86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5310,26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-6290,72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5310,88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-6290,92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5309,88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-6292,66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5311,26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Д-Л-52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-6294,74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5311,68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-6294,94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5310,68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-6292,8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5310,3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Д-Л-53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-6295,08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5310,72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-6294,88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5311,72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-6297,02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-6296,82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5312,1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Д-Л-54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-6299,12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5311,52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-6296,98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5312,14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-6298,92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5312,52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-6297,18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5311,14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Д-Л-55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-6299,11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5312,56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-6301,05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5312,94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-6301,25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5311,94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-6299,31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5311,56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Д-Л-56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-6301,44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5312,01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-6303,18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5313,39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-6301,24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5313,01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-6303,38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5312,39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Д-Л-57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-6305,51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5312,84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-6303,57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5312,46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-6305,31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5313,84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-6303,37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5313,46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Д-Л-6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-6280,54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5316,98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-6279,53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5316,8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-6281,08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5314,09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-6280,08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5313,9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Д-Л-7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-6280,07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5313,89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-6280,62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5310,99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-6281,08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5314,07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-6281,62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5311,18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Д-Л-8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-6281,65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5311,14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-6281,19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5308,06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-6280,64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5310,96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-6282,19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5308,25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Д-Л-9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Красноборская, 200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-6281,74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5305,14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-6281,19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5308,04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-6282,2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5308,22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-6282,74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5305,33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Д-П-64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Парковый, 13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-5143,52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-2032,93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-5144,29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-5140,55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-2032,48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-5141,31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-2027,55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Д-П-65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Рыночная, 2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-5197,23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-2040,92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-5203,14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-2041,92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-5197,92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-2036,95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-5203,84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-2037,95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И-П-117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Семченко, 13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-1927,17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-4048,98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-1929,84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-4050,42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-1924,8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-4053,32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-1927,48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-4054,78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К-П-52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Ласьвинская, 32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-17442,23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-1293,25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-17431,74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-1289,53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-17435,41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-1286,05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-17438,57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-1296,72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К-П-53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Сысольская, 17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-15332,19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388,19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-15334,17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399,24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-15328,18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391,14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-15338,2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396,3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Л-АМ-1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66а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-385,15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-822,55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-380,39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-821,04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-385,78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-820,64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-381,02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-819,13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Л-П-53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Борчанинова, 65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-613,36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-1617,72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-602,09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-1614,07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-612,15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-1621,6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-600,86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-1617,94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Л-П-54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Екатерининская, 53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984,44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-474,15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989,46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-477,15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986,74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-478,59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987,15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-472,72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Л-П-55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66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-351,18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-805,29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-350,46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-807,48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-347,44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-806,53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-348,17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-804,33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Л-П-56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66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-352,44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-805,09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-357,13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-806,58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-351,46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-808,04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-356,18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-809,5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Л-П-57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82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-1246,13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-1085,11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-1247,5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-1090,88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-1244,65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-1090,01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-1248,98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-1085,99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М-АМ-1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Гашкова, 19а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6890,99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5193,99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6890,73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5188,71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6888,87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5189,6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6892,85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5193,1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М-К-123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Крупской, 80а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3493,19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-2377,92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3493,01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-2375,88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3489,05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-2376,19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3489,23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-2378,23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М-П-93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Лядовская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7269,13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2084,54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7276,07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2084,53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7269,13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2076,46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7276,1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2076,46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М-П-94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Юрша, 54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4265,49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-398,84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4295,52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-428,85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4282,66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-434,96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4278,36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-392,72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М-П-95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Юрша, 74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4210,91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-1417,24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4201,89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-1423,86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4206,46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-1414,96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4206,34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-1426,14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О-КП-18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Цимлянская,9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8750,77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12817,22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8747,02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12815,18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8747,88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12818,07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8749,92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12814,32</w:t>
            </w:r>
          </w:p>
        </w:tc>
      </w:tr>
      <w:tr>
        <w:trPr>
          <w:trHeight w:val="330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О-П-16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Александра Щербакова, 39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8986,67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12333,34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8984,36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12332,29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8988,23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12330,13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8985,92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12329,08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С-К-68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Глеба Успенского, 22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289,11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-2106,53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289,58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-2111,55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-2110,45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287,14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-2107,66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С-П-142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Муромская, 16а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-460,73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-5060,43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-454,68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-5063,22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-459,03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-5058,63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-456,43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-5064,97</w:t>
            </w:r>
          </w:p>
        </w:tc>
      </w:tr>
      <w:tr>
        <w:trPr>
          <w:trHeight w:val="315"/>
        </w:trPr>
        <w:tc>
          <w:tcPr>
            <w:tcW w:w="1242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С-П-143</w:t>
            </w:r>
          </w:p>
        </w:tc>
        <w:tc>
          <w:tcPr>
            <w:tcW w:w="326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Солдатова, 29/3</w:t>
            </w:r>
          </w:p>
        </w:tc>
        <w:tc>
          <w:tcPr>
            <w:tcW w:w="1701" w:type="dxa"/>
            <w:vMerge w:val="restart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-324,51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-5319,86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-324,78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-5323,45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-318,79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-5323,89</w:t>
            </w:r>
          </w:p>
        </w:tc>
      </w:tr>
      <w:tr>
        <w:trPr>
          <w:trHeight w:val="315"/>
        </w:trPr>
        <w:tc>
          <w:tcPr>
            <w:tcW w:w="1242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-318,55</w:t>
            </w:r>
          </w:p>
        </w:tc>
        <w:tc>
          <w:tcPr>
            <w:tcW w:w="1418" w:type="dxa"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-5320,3</w:t>
            </w:r>
          </w:p>
        </w:tc>
      </w:tr>
    </w:tbl>
    <w:p>
      <w:pPr>
        <w:rPr>
          <w:szCs w:val="28"/>
        </w:rPr>
      </w:pPr>
    </w:p>
    <w:sectPr>
      <w:headerReference w:type="default" r:id="rId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5453"/>
    <w:multiLevelType w:val="hybridMultilevel"/>
    <w:tmpl w:val="68AE3838"/>
    <w:lvl w:ilvl="0" w:tplc="908C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F4D828" w:tentative="1">
      <w:start w:val="1"/>
      <w:numFmt w:val="lowerLetter"/>
      <w:lvlText w:val="%2."/>
      <w:lvlJc w:val="left"/>
      <w:pPr>
        <w:ind w:left="1440" w:hanging="360"/>
      </w:pPr>
    </w:lvl>
    <w:lvl w:ilvl="2" w:tplc="2DB257FC" w:tentative="1">
      <w:start w:val="1"/>
      <w:numFmt w:val="lowerRoman"/>
      <w:lvlText w:val="%3."/>
      <w:lvlJc w:val="right"/>
      <w:pPr>
        <w:ind w:left="2160" w:hanging="180"/>
      </w:pPr>
    </w:lvl>
    <w:lvl w:ilvl="3" w:tplc="E418183C" w:tentative="1">
      <w:start w:val="1"/>
      <w:numFmt w:val="decimal"/>
      <w:lvlText w:val="%4."/>
      <w:lvlJc w:val="left"/>
      <w:pPr>
        <w:ind w:left="2880" w:hanging="360"/>
      </w:pPr>
    </w:lvl>
    <w:lvl w:ilvl="4" w:tplc="34CA983C" w:tentative="1">
      <w:start w:val="1"/>
      <w:numFmt w:val="lowerLetter"/>
      <w:lvlText w:val="%5."/>
      <w:lvlJc w:val="left"/>
      <w:pPr>
        <w:ind w:left="3600" w:hanging="360"/>
      </w:pPr>
    </w:lvl>
    <w:lvl w:ilvl="5" w:tplc="BC709B08" w:tentative="1">
      <w:start w:val="1"/>
      <w:numFmt w:val="lowerRoman"/>
      <w:lvlText w:val="%6."/>
      <w:lvlJc w:val="right"/>
      <w:pPr>
        <w:ind w:left="4320" w:hanging="180"/>
      </w:pPr>
    </w:lvl>
    <w:lvl w:ilvl="6" w:tplc="2CC4D75E" w:tentative="1">
      <w:start w:val="1"/>
      <w:numFmt w:val="decimal"/>
      <w:lvlText w:val="%7."/>
      <w:lvlJc w:val="left"/>
      <w:pPr>
        <w:ind w:left="5040" w:hanging="360"/>
      </w:pPr>
    </w:lvl>
    <w:lvl w:ilvl="7" w:tplc="F050BD92" w:tentative="1">
      <w:start w:val="1"/>
      <w:numFmt w:val="lowerLetter"/>
      <w:lvlText w:val="%8."/>
      <w:lvlJc w:val="left"/>
      <w:pPr>
        <w:ind w:left="5760" w:hanging="360"/>
      </w:pPr>
    </w:lvl>
    <w:lvl w:ilvl="8" w:tplc="1D8CD0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BE4756-8E7B-45CF-9789-D078BDC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Исполнитель"/>
    <w:basedOn w:val="a9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9">
    <w:name w:val="Body Text"/>
    <w:basedOn w:val="a"/>
    <w:link w:val="aa"/>
    <w:pPr>
      <w:spacing w:line="360" w:lineRule="exact"/>
      <w:ind w:firstLine="720"/>
      <w:jc w:val="both"/>
    </w:pPr>
  </w:style>
  <w:style w:type="character" w:customStyle="1" w:styleId="aa">
    <w:name w:val="Основной текст Знак"/>
    <w:link w:val="a9"/>
    <w:rPr>
      <w:sz w:val="28"/>
      <w:szCs w:val="24"/>
    </w:rPr>
  </w:style>
  <w:style w:type="paragraph" w:customStyle="1" w:styleId="ab">
    <w:name w:val="Заголовок к тексту"/>
    <w:basedOn w:val="a"/>
    <w:next w:val="a9"/>
    <w:pPr>
      <w:suppressAutoHyphens/>
      <w:spacing w:after="480" w:line="240" w:lineRule="exact"/>
    </w:pPr>
    <w:rPr>
      <w:b/>
      <w:szCs w:val="20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styleId="ae">
    <w:name w:val="FollowedHyperlink"/>
    <w:basedOn w:val="a0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4984</Words>
  <Characters>28409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Стампель Наталья Николаевна</cp:lastModifiedBy>
  <cp:revision>2</cp:revision>
  <cp:lastPrinted>1900-12-31T19:00:00Z</cp:lastPrinted>
  <dcterms:created xsi:type="dcterms:W3CDTF">2016-05-17T10:32:00Z</dcterms:created>
  <dcterms:modified xsi:type="dcterms:W3CDTF">2016-05-17T10:32:00Z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организации согласования  проекта о внесении изменений и дополнений в схему размещения нестационарных торговых объектов на территории города Перми</vt:lpwstr>
  </property>
  <property fmtid="{D5CDD505-2E9C-101B-9397-08002B2CF9AE}" pid="3" name="reg_date">
    <vt:lpwstr>22.01.2015</vt:lpwstr>
  </property>
  <property fmtid="{D5CDD505-2E9C-101B-9397-08002B2CF9AE}" pid="4" name="reg_number">
    <vt:lpwstr>СЭД-13-04-07-4</vt:lpwstr>
  </property>
  <property fmtid="{D5CDD505-2E9C-101B-9397-08002B2CF9AE}" pid="5" name="r_object_id">
    <vt:lpwstr>09000001903eb78b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