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E07C28" w:rsidRPr="00365DFC" w:rsidRDefault="00E07C28" w:rsidP="00CB5A05">
            <w:pPr>
              <w:ind w:right="2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Решения Пермской городской Думы «</w:t>
            </w:r>
            <w:r w:rsidR="00B71C0E">
              <w:rPr>
                <w:sz w:val="28"/>
                <w:szCs w:val="28"/>
              </w:rPr>
              <w:t>О внесении изменений в ставки платы за единицу объема древесины, заготавливаемой на землях, находящихся в собственности города Перми, ставках платы за единицу объема лесных ресурсов и ставках платы за единицу площади лесных участков, находящихся в собственности города Перми, утвержденные решением Пермской городской Думы от 25.02.2014 № 33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uep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Pr="003A24F2">
              <w:rPr>
                <w:sz w:val="28"/>
                <w:szCs w:val="28"/>
                <w:u w:val="single"/>
              </w:rPr>
              <w:t>7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260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0A5F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1C0E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ООПТ</cp:lastModifiedBy>
  <cp:revision>2</cp:revision>
  <dcterms:created xsi:type="dcterms:W3CDTF">2016-09-19T04:23:00Z</dcterms:created>
  <dcterms:modified xsi:type="dcterms:W3CDTF">2016-09-19T04:23:00Z</dcterms:modified>
</cp:coreProperties>
</file>