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F" w:rsidRDefault="0067322F" w:rsidP="0067322F">
      <w:pPr>
        <w:spacing w:line="238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7322F" w:rsidRDefault="0067322F" w:rsidP="0067322F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7322F" w:rsidRDefault="0067322F" w:rsidP="0067322F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</w:p>
    <w:p w:rsidR="0067322F" w:rsidRDefault="0067322F" w:rsidP="0067322F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67322F" w:rsidRDefault="0067322F" w:rsidP="0067322F">
      <w:pPr>
        <w:jc w:val="right"/>
        <w:rPr>
          <w:sz w:val="28"/>
          <w:szCs w:val="28"/>
        </w:rPr>
      </w:pPr>
    </w:p>
    <w:p w:rsidR="0067322F" w:rsidRDefault="00DA5010" w:rsidP="0067322F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32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Pr="0067322F" w:rsidRDefault="0067322F" w:rsidP="0067322F">
      <w:pPr>
        <w:pStyle w:val="Caption"/>
        <w:spacing w:line="360" w:lineRule="auto"/>
        <w:jc w:val="center"/>
        <w:rPr>
          <w:color w:val="auto"/>
          <w:sz w:val="36"/>
        </w:rPr>
      </w:pPr>
      <w:r w:rsidRPr="0067322F">
        <w:rPr>
          <w:color w:val="auto"/>
          <w:sz w:val="36"/>
        </w:rPr>
        <w:t xml:space="preserve">Пермская городская Дума </w:t>
      </w:r>
      <w:r w:rsidRPr="0067322F">
        <w:rPr>
          <w:color w:val="auto"/>
          <w:sz w:val="36"/>
          <w:lang w:val="en-US"/>
        </w:rPr>
        <w:t>VII</w:t>
      </w:r>
      <w:r w:rsidRPr="0067322F">
        <w:rPr>
          <w:color w:val="auto"/>
          <w:sz w:val="36"/>
        </w:rPr>
        <w:t xml:space="preserve"> созыва</w:t>
      </w:r>
    </w:p>
    <w:p w:rsidR="0067322F" w:rsidRDefault="0067322F" w:rsidP="0067322F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67322F" w:rsidRDefault="0067322F" w:rsidP="006732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7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67322F" w:rsidRDefault="0067322F" w:rsidP="0067322F">
      <w:pPr>
        <w:ind w:firstLine="567"/>
        <w:jc w:val="both"/>
        <w:rPr>
          <w:sz w:val="28"/>
          <w:szCs w:val="28"/>
        </w:rPr>
      </w:pPr>
    </w:p>
    <w:p w:rsidR="0067322F" w:rsidRDefault="0067322F" w:rsidP="0067322F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67322F" w:rsidRDefault="0067322F" w:rsidP="0067322F">
      <w:pPr>
        <w:ind w:firstLine="567"/>
        <w:jc w:val="both"/>
        <w:rPr>
          <w:sz w:val="28"/>
          <w:szCs w:val="28"/>
        </w:rPr>
      </w:pP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Правила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территории города Перми, утвержденные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9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0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 24.08.2021 </w:t>
      </w:r>
      <w:hyperlink r:id="rId11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2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>, от 21.12.2021</w:t>
      </w:r>
      <w:proofErr w:type="gramEnd"/>
      <w:r>
        <w:rPr>
          <w:sz w:val="28"/>
          <w:szCs w:val="28"/>
        </w:rPr>
        <w:t xml:space="preserve"> </w:t>
      </w:r>
      <w:hyperlink r:id="rId13" w:tooltip="consultantplus://offline/ref=C41632C412696B81FFD3EC343D3AA9F3349E21309769C68D7E3D15D05E1B2CE9AC161677919F1BDFA645DE8DFCA8469CBD1A737B45498B8DBCB9D71951o5I" w:history="1">
        <w:r>
          <w:rPr>
            <w:sz w:val="28"/>
            <w:szCs w:val="28"/>
          </w:rPr>
          <w:br/>
          <w:t>№ 307</w:t>
        </w:r>
      </w:hyperlink>
      <w:r>
        <w:rPr>
          <w:sz w:val="28"/>
          <w:szCs w:val="28"/>
        </w:rPr>
        <w:t xml:space="preserve">, от 26.04.2022 </w:t>
      </w:r>
      <w:hyperlink r:id="rId14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 81</w:t>
        </w:r>
      </w:hyperlink>
      <w:r>
        <w:rPr>
          <w:sz w:val="28"/>
          <w:szCs w:val="28"/>
        </w:rPr>
        <w:t xml:space="preserve">, от 26.04.2022 </w:t>
      </w:r>
      <w:hyperlink r:id="rId15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6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</w:t>
      </w:r>
      <w:hyperlink r:id="rId17" w:tooltip="consultantplus://offline/ref=C41632C412696B81FFD3EC343D3AA9F3349E21309768C78D793515D05E1B2CE9AC161677919F1BDFA645DE8DFCA8469CBD1A737B45498B8DBCB9D71951o5I" w:history="1">
        <w:r>
          <w:rPr>
            <w:sz w:val="28"/>
            <w:szCs w:val="28"/>
          </w:rPr>
          <w:t>№ 171</w:t>
        </w:r>
      </w:hyperlink>
      <w:r>
        <w:rPr>
          <w:sz w:val="28"/>
          <w:szCs w:val="28"/>
        </w:rPr>
        <w:t xml:space="preserve">, от 23.08.2022 </w:t>
      </w:r>
      <w:hyperlink r:id="rId18" w:tooltip="consultantplus://offline/ref=C41632C412696B81FFD3EC343D3AA9F3349E21309768C78D783D15D05E1B2CE9AC161677919F1BDFA645DE8DFCA8469CBD1A737B45498B8DBCB9D71951o5I" w:history="1">
        <w:r>
          <w:rPr>
            <w:sz w:val="28"/>
            <w:szCs w:val="28"/>
          </w:rPr>
          <w:t>№ 173</w:t>
        </w:r>
      </w:hyperlink>
      <w:r>
        <w:rPr>
          <w:sz w:val="28"/>
          <w:szCs w:val="28"/>
        </w:rPr>
        <w:t xml:space="preserve">, от 23.08.2022 </w:t>
      </w:r>
      <w:hyperlink r:id="rId19" w:tooltip="consultantplus://offline/ref=C41632C412696B81FFD3EC343D3AA9F3349E21309768C78D783E15D05E1B2CE9AC161677919F1BDFA645DE8DFCA8469CBD1A737B45498B8DBCB9D71951o5I" w:history="1">
        <w:r>
          <w:rPr>
            <w:sz w:val="28"/>
            <w:szCs w:val="28"/>
          </w:rPr>
          <w:t>№ 174</w:t>
        </w:r>
      </w:hyperlink>
      <w:r>
        <w:rPr>
          <w:sz w:val="28"/>
          <w:szCs w:val="28"/>
        </w:rPr>
        <w:t xml:space="preserve">, от 25.10.2022 </w:t>
      </w:r>
      <w:hyperlink r:id="rId20" w:tooltip="consultantplus://offline/ref=C41632C412696B81FFD3EC343D3AA9F3349E21309768C2887D3815D05E1B2CE9AC161677919F1BDFA645DE8DFCA8469CBD1A737B45498B8DBCB9D71951o5I" w:history="1">
        <w:r>
          <w:rPr>
            <w:sz w:val="28"/>
            <w:szCs w:val="28"/>
          </w:rPr>
          <w:t>№ 233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15.11.2022 </w:t>
      </w:r>
      <w:hyperlink r:id="rId21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 20.12.2022 </w:t>
      </w:r>
      <w:hyperlink r:id="rId22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23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hyperlink r:id="rId24" w:tooltip="consultantplus://offline/ref=C41632C412696B81FFD3EC343D3AA9F3349E21309768C387763E15D05E1B2CE9AC161677919F1BDFA645DE8DFCA8469CBD1A737B45498B8DBCB9D71951o5I" w:history="1">
        <w:r>
          <w:br/>
        </w:r>
        <w:r>
          <w:rPr>
            <w:sz w:val="28"/>
            <w:szCs w:val="28"/>
          </w:rPr>
          <w:t>№ 280</w:t>
        </w:r>
      </w:hyperlink>
      <w:r>
        <w:rPr>
          <w:sz w:val="28"/>
          <w:szCs w:val="28"/>
        </w:rPr>
        <w:t xml:space="preserve">, от 24.01.2023 № 10, от 27.06.2023 № 117, от 22.08.2023 № 161, </w:t>
      </w:r>
      <w:r>
        <w:rPr>
          <w:sz w:val="28"/>
          <w:szCs w:val="28"/>
        </w:rPr>
        <w:br/>
        <w:t xml:space="preserve">от 26.09.2023 № 181, от 26.09.2023 № 182, от 26.09.2023 № 188, от 26.09.2023 </w:t>
      </w:r>
      <w:r>
        <w:rPr>
          <w:sz w:val="28"/>
          <w:szCs w:val="28"/>
        </w:rPr>
        <w:br/>
        <w:t xml:space="preserve">№ 189, от 26.09.2023 № 199, от 19.12.2023 № 277, от 27.02.2024 </w:t>
      </w:r>
      <w:hyperlink r:id="rId25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25.06.2024 № 118, от 24.09.2024 № 157, от 22.10.2024 № 177, от 19.11.2024 № 203, от 19.11.2024 № 204, от 17.12.2024 </w:t>
      </w:r>
      <w:r>
        <w:rPr>
          <w:sz w:val="28"/>
          <w:szCs w:val="28"/>
        </w:rPr>
        <w:br/>
        <w:t>№ 229), изменения:</w:t>
      </w: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подпунктом 2.1.12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«2.1.12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гостевой маршрут – </w:t>
      </w:r>
      <w:r>
        <w:rPr>
          <w:color w:val="000000"/>
          <w:sz w:val="28"/>
          <w:szCs w:val="28"/>
        </w:rPr>
        <w:t xml:space="preserve">основной городской маршрут следования гостей города. </w:t>
      </w:r>
      <w:proofErr w:type="gramStart"/>
      <w:r>
        <w:rPr>
          <w:color w:val="000000"/>
          <w:sz w:val="28"/>
          <w:szCs w:val="28"/>
        </w:rPr>
        <w:t xml:space="preserve">Гостевой маршрут – это территория, включающая улицы </w:t>
      </w:r>
      <w:r>
        <w:rPr>
          <w:color w:val="000000"/>
          <w:sz w:val="28"/>
          <w:szCs w:val="28"/>
        </w:rPr>
        <w:br/>
        <w:t xml:space="preserve">и примыкающие к ним территории, формирующие гостевой маршрут: шоссе Космонавтов (от аэропорта «Большое Савино» до пересечения с улицей Малкова), улица Малкова (от пересечения с шоссе Космонавтов до пересечения с </w:t>
      </w:r>
      <w:r>
        <w:rPr>
          <w:color w:val="000000"/>
          <w:sz w:val="28"/>
          <w:szCs w:val="28"/>
        </w:rPr>
        <w:lastRenderedPageBreak/>
        <w:t xml:space="preserve">улицей Локомотивной), улица Локомотивная (от пересечения с улицей Малкова </w:t>
      </w:r>
      <w:r>
        <w:rPr>
          <w:color w:val="000000"/>
          <w:sz w:val="28"/>
          <w:szCs w:val="28"/>
        </w:rPr>
        <w:br/>
        <w:t>до пересечения с улицей Окулова), улица Окулова (от пересечения с улицей Локомотивная до пересечения с улицей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Петропавловской), улица Петропавловская (от пересечения с улицей Окулова до пересечения с улицей Куйбышева).</w:t>
      </w:r>
      <w:proofErr w:type="gramEnd"/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границах гостевого маршрута устанавливаются особые требования к внешнему виду фасадов капитальных объектов (цветовое решение, отделочные материалы), вывескам, ограждающим устройствам (воротам, калиткам, в том числе автоматическим, ограждениям, в том числе декоративным или заборам), элементам благоустройства автостоянок, которые </w:t>
      </w:r>
      <w:r>
        <w:rPr>
          <w:rFonts w:eastAsia="Calibri"/>
          <w:bCs/>
          <w:sz w:val="28"/>
          <w:szCs w:val="28"/>
          <w:lang w:eastAsia="en-US"/>
        </w:rPr>
        <w:t xml:space="preserve">подлежат обязательному применению при реализации мероприятий по благоустройству территории города Перми.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оординаты поворотных точек границ гостевого маршрута приведены в приложении 22 Правил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>
        <w:rPr>
          <w:sz w:val="28"/>
          <w:szCs w:val="28"/>
        </w:rPr>
        <w:t>в абзаце втором подпункта 11.3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после слов «(далее – Стандартные требования)» дополнить словами «Требованиям к вывескам в границах гостевого маршрута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11.3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.3 после абзаца седьмого дополнить абзацем следующего содержания: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«соответствие вывесок Требованиям к вывескам в границах гостевого маршрута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абзац второй подпункта 11.4.3.1 дополнить словами «, за исключением вывесок, размещаемых на фасадах, архитектурных элементах капитального объекта, расположенного в границах гостевого маршрута»;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 абзаце первом подпункта 11.4.3.2 после слов «Стандартным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«вывески, не соответствующие Требованиям </w:t>
      </w:r>
      <w:r>
        <w:rPr>
          <w:sz w:val="28"/>
          <w:szCs w:val="28"/>
        </w:rPr>
        <w:br/>
        <w:t>к вывескам в границах гостевого маршрута,»;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абзац шестой подпункта 11.5.1 изложить в редакции: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«(за исключением улиц и частей улиц, входящих в границы городского центра, зон действия ограничений по условиям охраны объектов культурного наследия): бульвар Гагарина, переулок Ленинский, проспект Декабристов, проспект Парковый, Северная дамба, Средняя дамба, улица Василия Васильева, улица Веденеева, улица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 xml:space="preserve">, улица Встречная, улица Аркадия Гайдара, улица </w:t>
      </w:r>
      <w:proofErr w:type="spellStart"/>
      <w:r>
        <w:rPr>
          <w:sz w:val="28"/>
          <w:szCs w:val="28"/>
        </w:rPr>
        <w:t>Гайвинская</w:t>
      </w:r>
      <w:proofErr w:type="spellEnd"/>
      <w:r>
        <w:rPr>
          <w:sz w:val="28"/>
          <w:szCs w:val="28"/>
        </w:rPr>
        <w:t>, улица Героев Хасана, улица Докучаева, улица Калинина, улица Карпинского, улица Крупской, улица Куйбышева, улица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Космонавта Леонова, улица Локомотивная, улица </w:t>
      </w:r>
      <w:proofErr w:type="spellStart"/>
      <w:r>
        <w:rPr>
          <w:sz w:val="28"/>
          <w:szCs w:val="28"/>
        </w:rPr>
        <w:t>Лянгасова</w:t>
      </w:r>
      <w:proofErr w:type="spellEnd"/>
      <w:r>
        <w:rPr>
          <w:sz w:val="28"/>
          <w:szCs w:val="28"/>
        </w:rPr>
        <w:t xml:space="preserve">, улица Макаренко, улица Малкова, улица Маршала Рыбалко, улица Мира, улица Монастырская, улица </w:t>
      </w:r>
      <w:proofErr w:type="spellStart"/>
      <w:r>
        <w:rPr>
          <w:sz w:val="28"/>
          <w:szCs w:val="28"/>
        </w:rPr>
        <w:t>Ново-Гайвинская</w:t>
      </w:r>
      <w:proofErr w:type="spellEnd"/>
      <w:r>
        <w:rPr>
          <w:sz w:val="28"/>
          <w:szCs w:val="28"/>
        </w:rPr>
        <w:t xml:space="preserve">, улица Первомайская, улица Плеханова, улица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 xml:space="preserve">, улица Репина, улица </w:t>
      </w:r>
      <w:proofErr w:type="spellStart"/>
      <w:r>
        <w:rPr>
          <w:sz w:val="28"/>
          <w:szCs w:val="28"/>
        </w:rPr>
        <w:t>Светлогорская</w:t>
      </w:r>
      <w:proofErr w:type="spellEnd"/>
      <w:r>
        <w:rPr>
          <w:sz w:val="28"/>
          <w:szCs w:val="28"/>
        </w:rPr>
        <w:t xml:space="preserve">, улица Архитектора </w:t>
      </w:r>
      <w:proofErr w:type="spellStart"/>
      <w:r>
        <w:rPr>
          <w:sz w:val="28"/>
          <w:szCs w:val="28"/>
        </w:rPr>
        <w:t>Свиязева</w:t>
      </w:r>
      <w:proofErr w:type="spellEnd"/>
      <w:r>
        <w:rPr>
          <w:sz w:val="28"/>
          <w:szCs w:val="28"/>
        </w:rPr>
        <w:t xml:space="preserve">, улица Советской Армии, улица </w:t>
      </w: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Спешилова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, улица Стахановская, улица </w:t>
      </w:r>
      <w:proofErr w:type="spellStart"/>
      <w:r>
        <w:rPr>
          <w:sz w:val="28"/>
          <w:szCs w:val="28"/>
        </w:rPr>
        <w:t>Цимлянская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 xml:space="preserve">, улица Уральская, улица Ушинского, улица </w:t>
      </w:r>
      <w:proofErr w:type="spellStart"/>
      <w:r>
        <w:rPr>
          <w:sz w:val="28"/>
          <w:szCs w:val="28"/>
        </w:rPr>
        <w:t>Юрша</w:t>
      </w:r>
      <w:proofErr w:type="spellEnd"/>
      <w:r>
        <w:rPr>
          <w:sz w:val="28"/>
          <w:szCs w:val="28"/>
        </w:rPr>
        <w:t>, шоссе Космонавтов, Южная дамба;»;</w:t>
      </w:r>
      <w:proofErr w:type="gramEnd"/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в Требованиях к содержанию паспорта внешнего облика (колерного паспорта) объекта капитального строительства (за исключением объекта, строительство которого не завершено) (приложение 2):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1.7.1 абзац восьмой пункта 5 дополнить словами «, о реквизитах решения </w:t>
      </w:r>
      <w:r>
        <w:rPr>
          <w:sz w:val="28"/>
          <w:szCs w:val="28"/>
        </w:rPr>
        <w:br/>
        <w:t>о согласовании архитектурно-градостроительного облика объекта капитального строительства (при наличии)»;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 в пункте 6: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1.7.2.1 после абзаца второго дополнить абзацем следующего содержания:</w:t>
      </w:r>
    </w:p>
    <w:p w:rsidR="0067322F" w:rsidRDefault="0067322F" w:rsidP="0067322F">
      <w:pPr>
        <w:pStyle w:val="aff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«реквизиты решения о согласовании архитектурно-градостроительного облика объекта капитального строительства (при наличии)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67322F" w:rsidRDefault="0067322F" w:rsidP="006732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1.7.2.2 в абзаце шестом слова «(при необходимости)» исключить;</w:t>
      </w:r>
    </w:p>
    <w:p w:rsidR="0067322F" w:rsidRDefault="0067322F" w:rsidP="006732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1.7.3 в пункте 7 слова «строящегося (реконструируемого)» исключить;</w:t>
      </w:r>
    </w:p>
    <w:p w:rsidR="0067322F" w:rsidRDefault="0067322F" w:rsidP="006732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1.7.4 абзац второй пункта 9 изложить в редакции:</w:t>
      </w:r>
    </w:p>
    <w:p w:rsidR="0067322F" w:rsidRDefault="0067322F" w:rsidP="006732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«чертежи фасада в цветовом решении, в случае разработки проекта колерного паспорта Объекта в отношении объекта культурного наследия, а также при размещении новой входной группы, при изменении входной группы при проведении реконструкции, Текущего ремонта, Капитального ремонта прилагаются чертежи фрагментов фасада с указанием размерных характеристик архитектурных элементов фасада Объекта. Цветовое решение фасада выполняется в плоскостном виде, отображение объемных светотеней на чертежах фасада не допускается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7322F" w:rsidRDefault="0067322F" w:rsidP="006732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1.7.5 абзац второй пункта 12 дополнить словами «либо визуализацию, отображающую архитектурно-художественную подсветку Объекта»;</w:t>
      </w:r>
    </w:p>
    <w:p w:rsidR="0067322F" w:rsidRDefault="0067322F" w:rsidP="006732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 в Стандартных требованиях к вывескам, их размещению и эксплуатации (приложение 3):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 в подпункте 1.1.2 слова «; устанавливается горизонтально </w:t>
      </w:r>
      <w:r>
        <w:rPr>
          <w:sz w:val="28"/>
          <w:szCs w:val="28"/>
        </w:rPr>
        <w:br/>
        <w:t xml:space="preserve">или вертикально» заменить словами «, </w:t>
      </w:r>
      <w:proofErr w:type="gramStart"/>
      <w:r>
        <w:rPr>
          <w:sz w:val="28"/>
          <w:szCs w:val="28"/>
        </w:rPr>
        <w:t>содержащая</w:t>
      </w:r>
      <w:proofErr w:type="gramEnd"/>
      <w:r>
        <w:rPr>
          <w:sz w:val="28"/>
          <w:szCs w:val="28"/>
        </w:rPr>
        <w:t xml:space="preserve"> сведения, указанные </w:t>
      </w:r>
      <w:r>
        <w:rPr>
          <w:sz w:val="28"/>
          <w:szCs w:val="28"/>
        </w:rPr>
        <w:br/>
        <w:t>в подпункте 2.1.9 Правил благоустройства территории города Перми»;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 в подпункте 1.1.3 слова «на дверях» заменить словами «на остеклении дверного блока»;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 пункт 3.11 изложить в редакции: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«3.11 Вывеска не должна превышать размеры козырька по высоте, длине (рис.12 приложения)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1.8.4 в пункте 3.15 после слова «и» дополнить словом «(или)»;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Перечень улиц особого градостроительного </w:t>
      </w:r>
      <w:proofErr w:type="spellStart"/>
      <w:proofErr w:type="gramStart"/>
      <w:r>
        <w:rPr>
          <w:sz w:val="28"/>
          <w:szCs w:val="28"/>
        </w:rPr>
        <w:t>значения-магистралей</w:t>
      </w:r>
      <w:proofErr w:type="spellEnd"/>
      <w:proofErr w:type="gramEnd"/>
      <w:r>
        <w:rPr>
          <w:sz w:val="28"/>
          <w:szCs w:val="28"/>
        </w:rPr>
        <w:t xml:space="preserve"> городского значения (приложение 6) изложить в редакции:</w:t>
      </w:r>
    </w:p>
    <w:p w:rsidR="0067322F" w:rsidRDefault="0067322F" w:rsidP="0067322F">
      <w:pPr>
        <w:pStyle w:val="aff0"/>
        <w:ind w:firstLine="703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Улицы особого градостроительного значения-магистрали городского значения (за исключением улиц и частей улиц, входящих в границы городского центра, зон действия ограничений по условиям охраны объектов культурного наследия): бульвар Гагарина, переулок Ленинский, проспект Декабристов, проспект Парковый, Северная дамба, Средняя дамба, улица Василия Васильева, улица Веденеева, улица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 xml:space="preserve">, улица Встречная, улица Аркадия Гайдара, улица </w:t>
      </w:r>
      <w:proofErr w:type="spellStart"/>
      <w:r>
        <w:rPr>
          <w:sz w:val="28"/>
          <w:szCs w:val="28"/>
        </w:rPr>
        <w:t>Гайвинская</w:t>
      </w:r>
      <w:proofErr w:type="spellEnd"/>
      <w:r>
        <w:rPr>
          <w:sz w:val="28"/>
          <w:szCs w:val="28"/>
        </w:rPr>
        <w:t>, улица Героев Хасана, улица Докучаева, улица Калинина, улица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Карпинского, улица Крупской, улица Куйбышева, улица Космонавта Леонова, улица Локомотивная, улица </w:t>
      </w:r>
      <w:proofErr w:type="spellStart"/>
      <w:r>
        <w:rPr>
          <w:sz w:val="28"/>
          <w:szCs w:val="28"/>
        </w:rPr>
        <w:t>Лянгасова</w:t>
      </w:r>
      <w:proofErr w:type="spellEnd"/>
      <w:r>
        <w:rPr>
          <w:sz w:val="28"/>
          <w:szCs w:val="28"/>
        </w:rPr>
        <w:t xml:space="preserve">, улица Макаренко, улица Малкова, улица Маршала Рыбалко, улица Мира, улица Монастырская, улица </w:t>
      </w:r>
      <w:proofErr w:type="spellStart"/>
      <w:r>
        <w:rPr>
          <w:sz w:val="28"/>
          <w:szCs w:val="28"/>
        </w:rPr>
        <w:t>Ново-Гайвинская</w:t>
      </w:r>
      <w:proofErr w:type="spellEnd"/>
      <w:r>
        <w:rPr>
          <w:sz w:val="28"/>
          <w:szCs w:val="28"/>
        </w:rPr>
        <w:t xml:space="preserve">, улица Первомайская, улица Плеханова, улица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 xml:space="preserve">, улица Репина, улица </w:t>
      </w:r>
      <w:proofErr w:type="spellStart"/>
      <w:r>
        <w:rPr>
          <w:sz w:val="28"/>
          <w:szCs w:val="28"/>
        </w:rPr>
        <w:t>Светлогорская</w:t>
      </w:r>
      <w:proofErr w:type="spellEnd"/>
      <w:r>
        <w:rPr>
          <w:sz w:val="28"/>
          <w:szCs w:val="28"/>
        </w:rPr>
        <w:t xml:space="preserve">, улица Архитектора </w:t>
      </w:r>
      <w:proofErr w:type="spellStart"/>
      <w:r>
        <w:rPr>
          <w:sz w:val="28"/>
          <w:szCs w:val="28"/>
        </w:rPr>
        <w:t>Свиязева</w:t>
      </w:r>
      <w:proofErr w:type="spellEnd"/>
      <w:r>
        <w:rPr>
          <w:sz w:val="28"/>
          <w:szCs w:val="28"/>
        </w:rPr>
        <w:t xml:space="preserve">, улица Советской Армии, улица </w:t>
      </w:r>
      <w:proofErr w:type="spellStart"/>
      <w:r>
        <w:rPr>
          <w:sz w:val="28"/>
          <w:szCs w:val="28"/>
        </w:rPr>
        <w:lastRenderedPageBreak/>
        <w:t>Соликамская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Спешилова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, улица Стахановская, улица </w:t>
      </w:r>
      <w:proofErr w:type="spellStart"/>
      <w:r>
        <w:rPr>
          <w:sz w:val="28"/>
          <w:szCs w:val="28"/>
        </w:rPr>
        <w:t>Цимлянская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 xml:space="preserve">, улица Уральская, улица Ушинского, улица </w:t>
      </w:r>
      <w:proofErr w:type="spellStart"/>
      <w:r>
        <w:rPr>
          <w:sz w:val="28"/>
          <w:szCs w:val="28"/>
        </w:rPr>
        <w:t>Юрша</w:t>
      </w:r>
      <w:proofErr w:type="spellEnd"/>
      <w:r>
        <w:rPr>
          <w:sz w:val="28"/>
          <w:szCs w:val="28"/>
        </w:rPr>
        <w:t>, шоссе</w:t>
      </w:r>
      <w:proofErr w:type="gramEnd"/>
      <w:r>
        <w:rPr>
          <w:sz w:val="28"/>
          <w:szCs w:val="28"/>
        </w:rPr>
        <w:t xml:space="preserve"> Космонавтов, Южная дамба</w:t>
      </w:r>
      <w:proofErr w:type="gramStart"/>
      <w:r>
        <w:rPr>
          <w:sz w:val="28"/>
          <w:szCs w:val="28"/>
        </w:rPr>
        <w:t>.»;</w:t>
      </w:r>
      <w:proofErr w:type="gramEnd"/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1.10 </w:t>
      </w:r>
      <w:r>
        <w:rPr>
          <w:bCs/>
          <w:sz w:val="28"/>
          <w:szCs w:val="28"/>
        </w:rPr>
        <w:t>д</w:t>
      </w:r>
      <w:r>
        <w:rPr>
          <w:sz w:val="28"/>
          <w:szCs w:val="28"/>
        </w:rPr>
        <w:t>ополнить приложением 22 «К</w:t>
      </w:r>
      <w:r>
        <w:rPr>
          <w:bCs/>
          <w:sz w:val="28"/>
          <w:szCs w:val="28"/>
        </w:rPr>
        <w:t>оординаты поворотных точек границ гостевого маршрута</w:t>
      </w:r>
      <w:r>
        <w:rPr>
          <w:sz w:val="28"/>
          <w:szCs w:val="28"/>
        </w:rPr>
        <w:t>» согласно приложению 1 к настоящему решению;</w:t>
      </w:r>
    </w:p>
    <w:p w:rsidR="0067322F" w:rsidRDefault="0067322F" w:rsidP="0067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дополнить приложением 23 «Требования к вывескам в границах гостевого маршрута» согласно приложению 2 к настоящему решению.</w:t>
      </w: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отношении элементов благоустройства автостоянок, указателей </w:t>
      </w:r>
      <w:r>
        <w:rPr>
          <w:sz w:val="28"/>
          <w:szCs w:val="28"/>
        </w:rPr>
        <w:br/>
        <w:t>с наименованиями улиц и номерами домов (зданий), вывесок, люков колодцев инженерных коммуникаций, пешеходных ограждений, объектов уличного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мурали</w:t>
      </w:r>
      <w:proofErr w:type="spellEnd"/>
      <w:r>
        <w:rPr>
          <w:sz w:val="28"/>
          <w:szCs w:val="28"/>
        </w:rPr>
        <w:t xml:space="preserve">), размещенных на фасадах капитальных объектов, на сплошных ограждениях (заборах), расположенных на территориях, выходящих на улицы особого градостроительного значения-магистрали городского значения, в редакции настоящего решения, и ранее не входивших </w:t>
      </w:r>
      <w:r>
        <w:rPr>
          <w:sz w:val="28"/>
          <w:szCs w:val="28"/>
        </w:rPr>
        <w:br/>
        <w:t xml:space="preserve">в перечень улиц особого градостроительного </w:t>
      </w:r>
      <w:proofErr w:type="spellStart"/>
      <w:r>
        <w:rPr>
          <w:sz w:val="28"/>
          <w:szCs w:val="28"/>
        </w:rPr>
        <w:t>значения-магистралей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городского значения до вступления в силу настоящего решения, которые на день вступления в силу настоящего решения не соответствуют установленным Правилами благоустройства территории города Перми требованиям, правообладатели указанных элементов благоустройства в течение 12 месяцев со дня вступления </w:t>
      </w:r>
      <w:r>
        <w:rPr>
          <w:sz w:val="28"/>
          <w:szCs w:val="28"/>
        </w:rPr>
        <w:br/>
        <w:t xml:space="preserve">в силу настоящего решения должны привести элементы благоустройства </w:t>
      </w:r>
      <w:r>
        <w:rPr>
          <w:sz w:val="28"/>
          <w:szCs w:val="28"/>
        </w:rPr>
        <w:br/>
        <w:t>в соответствие установленным Правилами благоустройства территории города Перми требованиям.</w:t>
      </w:r>
      <w:proofErr w:type="gramEnd"/>
    </w:p>
    <w:p w:rsidR="0067322F" w:rsidRDefault="0067322F" w:rsidP="0067322F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 В отношении вывесок, размещенных в границах гостевого маршрута, которые на день вступления в силу настоящего решения не соответствуют установленным н</w:t>
      </w:r>
      <w:r>
        <w:rPr>
          <w:sz w:val="28"/>
          <w:szCs w:val="28"/>
          <w:lang w:eastAsia="ru-RU"/>
        </w:rPr>
        <w:t xml:space="preserve">астоящим решением требованиям, в течение 12 месяцев после дня вступления в силу настоящего решения должны привести вывески </w:t>
      </w:r>
      <w:r>
        <w:rPr>
          <w:sz w:val="28"/>
          <w:szCs w:val="28"/>
          <w:lang w:eastAsia="ru-RU"/>
        </w:rPr>
        <w:br/>
        <w:t>в соответствие установленным настоящим решением требованиям.</w:t>
      </w: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01.09.2025. </w:t>
      </w: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67322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67322F" w:rsidRDefault="0067322F" w:rsidP="0067322F">
      <w:pPr>
        <w:shd w:val="nil"/>
        <w:rPr>
          <w:sz w:val="28"/>
          <w:szCs w:val="28"/>
        </w:rPr>
        <w:sectPr w:rsidR="0067322F">
          <w:headerReference w:type="even" r:id="rId26"/>
          <w:headerReference w:type="default" r:id="rId27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67322F" w:rsidRDefault="0067322F" w:rsidP="0067322F">
      <w:pPr>
        <w:jc w:val="right"/>
        <w:rPr>
          <w:sz w:val="28"/>
          <w:szCs w:val="28"/>
        </w:rPr>
      </w:pPr>
    </w:p>
    <w:p w:rsidR="0067322F" w:rsidRDefault="0067322F" w:rsidP="006732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22</w:t>
      </w:r>
    </w:p>
    <w:p w:rsidR="0067322F" w:rsidRDefault="0067322F" w:rsidP="0067322F">
      <w:pPr>
        <w:jc w:val="right"/>
        <w:rPr>
          <w:sz w:val="28"/>
          <w:szCs w:val="28"/>
        </w:rPr>
      </w:pPr>
    </w:p>
    <w:p w:rsidR="0067322F" w:rsidRDefault="0067322F" w:rsidP="0067322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>оординаты поворотных точек границ гостевого маршрута</w:t>
      </w:r>
    </w:p>
    <w:p w:rsidR="0067322F" w:rsidRDefault="0067322F" w:rsidP="0067322F">
      <w:pPr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3134"/>
        <w:gridCol w:w="3402"/>
        <w:gridCol w:w="3402"/>
      </w:tblGrid>
      <w:tr w:rsidR="0067322F" w:rsidTr="00DF537D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поворотных точек в системе координат МСК-59</w:t>
            </w:r>
          </w:p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322F" w:rsidTr="00DF537D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</w:t>
            </w:r>
          </w:p>
        </w:tc>
      </w:tr>
    </w:tbl>
    <w:p w:rsidR="0067322F" w:rsidRDefault="0067322F" w:rsidP="0067322F">
      <w:pPr>
        <w:sectPr w:rsidR="0067322F">
          <w:headerReference w:type="first" r:id="rId28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tbl>
      <w:tblPr>
        <w:tblW w:w="9938" w:type="dxa"/>
        <w:tblInd w:w="93" w:type="dxa"/>
        <w:tblLook w:val="04A0"/>
      </w:tblPr>
      <w:tblGrid>
        <w:gridCol w:w="3134"/>
        <w:gridCol w:w="3402"/>
        <w:gridCol w:w="3402"/>
      </w:tblGrid>
      <w:tr w:rsidR="0067322F" w:rsidTr="00DF537D">
        <w:trPr>
          <w:trHeight w:val="300"/>
          <w:tblHeader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518049,37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2231451,51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518022,65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2231460,75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517908,57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2231518,39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517887,55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2231481,16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517850,12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2231494,37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517806,49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2231352,87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517928,38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2231314,04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517599,05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2230254,20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517534,89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2230079,08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517357,67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2229509,91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517300,63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2229528,12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517276,01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2229437,66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517284,41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2229434,66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517268,50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2229374,71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517282,11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2229370,61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517260,40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2229301,96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517288,62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2229291,75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517251,07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2229175,08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517122,81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2229218,23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517111,33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2229176,01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517054,67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2229181,31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517002,42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2229113,84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516833,47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2229077,37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516699,47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2229030,33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516645,97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2228974,29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516585,46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2228965,41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516504,33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2228949,59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516347,58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2228925,53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516332,08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2228997,62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516329,26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2229096,84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516301,65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2229110,73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516262,65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2229049,44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516210,39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2229012,72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516142,19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2228998,08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516073,40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2228990,15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516017,73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2228990,42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515964,26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2229001,39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515892,93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2229021,90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515776,21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2229085,99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515807,45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2229145,94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515781,44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2229162,16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515771,82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2229144,93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515672,18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2229196,10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515694,38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2229251,42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515643,47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2229274,62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515555,14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2229060,97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515520,19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2229069,95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515462,78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2228930,97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515474,43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2228924,04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515401,03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2228795,58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515218,60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2228691,20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515107,32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2228613,14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514838,32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2228418,60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514815,90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2228449,02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514719,03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2228396,58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514618,56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2228234,46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514539,30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2228276,89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514445,23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2228115,97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514461,44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2228106,57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514083,77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2227557,16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514045,54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2227490,51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514071,96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2227477,30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514028,77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2227388,50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514004,14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2227359,71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513986,30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2227329,99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513814,68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2227170,34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513793,87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2227132,18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513752,59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2227145,54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513708,88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2227055,00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513735,07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2227038,69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513673,67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2226937,30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513475,52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2226786,39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513427,18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2226696,13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513375,84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2226724,05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513352,53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2226678,34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513268,66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2226723,94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513225,84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2226610,21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512817,06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2226032,10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512715,79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2225898,58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512588,60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2225774,70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512533,45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2225742,79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512486,95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2225728,36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512374,31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2225862,85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512283,21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2225790,66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512384,28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2225655,56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512239,02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2225559,69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512148,80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2225484,98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512136,59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2225450,75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512032,72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2225354,08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512034,52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2225309,25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511901,82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2225108,50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511887,11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2225120,71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511836,18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2225053,66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511822,36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2225062,07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511733,30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2224997,42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511743,11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2224979,81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511588,24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2224795,50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511495,14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2224593,92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511466,37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2224500,66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511361,29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2224395,33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511348,78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2224362,02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511441,22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2224323,72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511404,30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2224229,38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511359,26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2224246,49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511347,56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2224219,47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511391,69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2224200,78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511113,65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2223630,61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511098,94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2223595,09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511083,36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2223601,57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511057,34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2223534,27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511116,31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2223510,33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511102,78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2223448,93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510928,78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2222934,82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510780,61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2222540,59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510637,13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2222215,09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510534,43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2222049,49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510317,76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2221601,98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510243,90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2221529,56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510220,66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2221465,38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510229,13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2221308,29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509861,41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2220313,16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509850,28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2220243,10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509853,78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2220229,06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509864,20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2220184,96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509869,09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2220184,53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509873,28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2220182,96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509955,50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2220398,83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509956,38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2220401,15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510009,08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2220542,33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510064,16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2220689,59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510105,51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2220795,58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510116,33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2220823,02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510133,43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2220868,81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510153,94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2220924,57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510207,71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2221070,29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510212,66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2221068,37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510216,18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2221077,72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510212,33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2221079,17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510217,48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2221092,53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510223,61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2221106,06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510225,02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2221116,69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510241,77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2221161,54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510284,12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2221259,76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510293,25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2221278,71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510303,74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2221304,00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510296,99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2221306,68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510317,07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2221364,61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510328,44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2221390,52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510355,52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2221461,27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510356,36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2221462,90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510357,83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2221466,65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510405,41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2221611,04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510411,62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2221629,88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510446,02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2221720,12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510475,75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2221798,07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510478,39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2221797,01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510490,75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2221830,22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510504,17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2221875,23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510545,65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2221840,29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510587,85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2221899,84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510608,57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2221884,94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510614,96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2221891,81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510637,20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2221902,64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510642,63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2221916,04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510650,09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2221934,56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510654,60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2221945,77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510701,06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2222011,96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510709,29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2222023,69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510730,26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2222053,73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510683,17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2222108,90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510735,20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2222175,57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510736,06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2222176,79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510723,65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2222185,89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510701,65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2222201,50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510750,47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2222294,35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510774,20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2222339,50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510771,05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2222341,76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510781,31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2222364,43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510785,89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2222369,90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510792,38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2222385,74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510864,93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2222572,62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510884,94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2222628,49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510889,54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2222641,23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510905,00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2222682,17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510922,18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2222703,34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510973,48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2222863,78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511040,12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2223037,61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511063,75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2223105,05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511085,03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2223164,72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511143,48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2223314,71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511145,91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2223321,54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511152,60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2223330,08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511189,52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2223429,21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511197,54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2223450,53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511213,62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2223498,95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511237,55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2223557,04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511276,71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2223670,50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511326,85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2223796,61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511331,76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2223808,96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511345,00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2223846,27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511360,69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2223881,82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511370,42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2223891,68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511388,70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2223937,60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511387,37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2223938,06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511408,49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2223979,89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511410,78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2223979,00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511443,03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2224041,14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511445,60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2224040,89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511455,72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2224047,21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511493,14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2224128,94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511511,18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2224166,48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511531,19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2224220,91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511533,08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2224231,38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511534,23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2224237,88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511534,42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2224245,22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511572,06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2224429,44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511584,08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2224486,57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511598,81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2224552,29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511620,85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2224583,68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511622,12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2224594,17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511632,77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2224593,45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511637,38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2224592,20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511638,76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2224588,67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511738,27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2224756,51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511829,58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2224885,50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511888,56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2224918,81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511955,86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2224924,36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511999,57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2224956,62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511965,97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2225005,08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511983,87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2225020,50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512002,11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2225025,62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512029,81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2224996,24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512073,04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2225031,53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512090,82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2225014,82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512131,24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2225052,98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512079,57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2225116,59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512131,79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2225184,77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512202,50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2225274,06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512272,07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2225254,75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512346,19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2225265,12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512427,32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2225360,00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512346,88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2225443,88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512556,30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2225626,19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512658,85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2225703,72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512721,99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2225789,80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512747,66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2225769,16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512784,95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2225813,91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512762,25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2225831,34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512813,74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2225897,79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512827,62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2225888,49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512844,31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2225911,40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512833,51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2225922,40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512909,31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2226021,18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512930,65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2226006,44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512952,63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2226036,40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512936,85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2226049,15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512982,29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2226110,21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513030,51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2226072,39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513048,73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2226096,33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513010,61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2226130,80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513214,40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2226385,40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513677,92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2226783,19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513713,67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2226735,06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513882,80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2226865,00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513842,24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2226924,82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513871,81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2226953,32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513983,84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2227136,04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514307,42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2227560,88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514462,71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2227835,51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514523,05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2227936,01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514586,54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2228015,95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514825,90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2228237,07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515220,32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2228552,97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515367,96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2228638,26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515472,76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2228665,80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515517,28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2228691,08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515546,20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2228726,62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515692,78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2229055,00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515859,46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2228967,40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515934,49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2228941,86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516058,85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2228916,73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516148,43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2228926,28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516203,12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2228947,70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516234,21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2228882,72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516288,32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2228904,00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516313,29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2228860,99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516215,94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2228808,50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516254,21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2228744,22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516227,61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2228728,54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516254,00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2228677,66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516332,45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2228702,77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516386,08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2228549,45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516421,83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2228499,26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516526,34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2228579,02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516431,46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2228714,46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516439,56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2228735,62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516488,82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2228792,86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516822,17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2228955,75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517044,42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2229025,87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517076,17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2228974,28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517093,13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2228910,32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517137,69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2228526,68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517160,83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2228528,21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517171,39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2228405,98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517223,64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2228409,29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517230,62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2228853,73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517272,26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2229038,43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517347,54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2229018,31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517420,73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2229270,16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517363,49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2229291,67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517398,97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2229406,98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517452,87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2229390,50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517472,88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2229454,83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517439,31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2229466,24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517612,46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2230035,83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517639,81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2230028,40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517647,92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2230053,23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517595,54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2230069,12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517823,61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2230804,53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517875,08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2230948,24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517984,40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2230913,86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518033,90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2231076,81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517958,27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2231100,70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517982,59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2231188,44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517968,93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2231192,48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517982,08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2231234,08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517966,01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2231239,41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518003,39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2231363,21</w:t>
            </w:r>
          </w:p>
        </w:tc>
      </w:tr>
      <w:tr w:rsidR="0067322F" w:rsidTr="00DF537D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518021,52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2F" w:rsidRDefault="0067322F" w:rsidP="00DF53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2231356,97</w:t>
            </w:r>
          </w:p>
        </w:tc>
      </w:tr>
    </w:tbl>
    <w:p w:rsidR="0067322F" w:rsidRDefault="0067322F" w:rsidP="0067322F">
      <w:pPr>
        <w:jc w:val="center"/>
        <w:rPr>
          <w:rFonts w:eastAsia="Calibri"/>
          <w:b/>
        </w:rPr>
      </w:pPr>
    </w:p>
    <w:p w:rsidR="0067322F" w:rsidRDefault="0067322F" w:rsidP="0067322F">
      <w:pPr>
        <w:jc w:val="center"/>
        <w:rPr>
          <w:rFonts w:eastAsia="Calibri"/>
          <w:b/>
          <w:bCs/>
        </w:rPr>
        <w:sectPr w:rsidR="0067322F">
          <w:type w:val="continuous"/>
          <w:pgSz w:w="11900" w:h="16820"/>
          <w:pgMar w:top="1134" w:right="567" w:bottom="1134" w:left="1418" w:header="709" w:footer="709" w:gutter="0"/>
          <w:cols w:space="60"/>
          <w:titlePg/>
          <w:docGrid w:linePitch="360"/>
        </w:sectPr>
      </w:pP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67322F" w:rsidRDefault="0067322F" w:rsidP="0067322F">
      <w:pPr>
        <w:spacing w:line="23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67322F" w:rsidRDefault="0067322F" w:rsidP="0067322F">
      <w:pPr>
        <w:jc w:val="right"/>
        <w:rPr>
          <w:sz w:val="28"/>
          <w:szCs w:val="28"/>
        </w:rPr>
      </w:pPr>
    </w:p>
    <w:p w:rsidR="0067322F" w:rsidRDefault="0067322F" w:rsidP="006732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23</w:t>
      </w:r>
    </w:p>
    <w:p w:rsidR="0067322F" w:rsidRDefault="0067322F" w:rsidP="0067322F">
      <w:pPr>
        <w:rPr>
          <w:sz w:val="28"/>
          <w:szCs w:val="28"/>
        </w:rPr>
      </w:pPr>
    </w:p>
    <w:p w:rsidR="0067322F" w:rsidRDefault="0067322F" w:rsidP="00673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вывескам в границах гостевого маршрута</w:t>
      </w:r>
    </w:p>
    <w:p w:rsidR="0067322F" w:rsidRDefault="0067322F" w:rsidP="0067322F">
      <w:pPr>
        <w:jc w:val="center"/>
        <w:rPr>
          <w:b/>
          <w:sz w:val="28"/>
          <w:szCs w:val="28"/>
        </w:rPr>
      </w:pPr>
    </w:p>
    <w:p w:rsidR="0067322F" w:rsidRDefault="0067322F" w:rsidP="006732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Типы вывесок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Типы вывесок: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настенная конструкция – конструкция вывески, располагаемая параллельно поверхности фасадов объектов капитального строительства (за исключением объектов, строительство которых не завершено) (далее – капитальный объект) и (или) их конструктивных элементов непосредственно на плоскости фасада капитального объекта.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настенных конструкций: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объемные буквы и знаки (толщиной не менее 0,01 м), без подложки в целях размещения буквенных, цифровых символов (знаков) наименования организации (индивидуального предпринимателя) (фирменного наименования, коммерческого обозначения), их профиля деятельности, вида реализуемых ими товаров (услуг) (далее – объемные буквы и знаки),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световой короб (</w:t>
      </w:r>
      <w:proofErr w:type="spellStart"/>
      <w:r>
        <w:rPr>
          <w:sz w:val="28"/>
          <w:szCs w:val="28"/>
        </w:rPr>
        <w:t>лайтбокс</w:t>
      </w:r>
      <w:proofErr w:type="spellEnd"/>
      <w:r>
        <w:rPr>
          <w:sz w:val="28"/>
          <w:szCs w:val="28"/>
        </w:rPr>
        <w:t xml:space="preserve">) в целях размещения графической части вывески (логотипа, коммерческого обозначения, товарного знака, знака обслуживания организации (индивидуального предпринимателя) (далее – логотип), </w:t>
      </w:r>
      <w:proofErr w:type="gramEnd"/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маркиза, содержащая сведения, указанные в подпункте 2.1.9 Правил благоустройства территории города Перми;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1.1.2 консольная конструкция (панель-кронштейн) – конструкция вывески, располагаемая перпендикулярно к поверхности фасадов капитальных объектов и (или) их конструктивных элементов, содержащая сведения, указанные в подпункте 2.1.9 Правил благоустройства территории города Перми.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консольных конструкций: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простой формы (прямоугольной, круглой, квадратной);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сложной формы;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1.1.3 информационная табличка – конструкция визуальной коммуникации, содержащая информацию о наименовании организации (индивидуального предпринимателя), профиле деятельности, виде реализуемых ими товаров (услуг), их наименовании (фирменное наименование, коммерческое обозначение, изображение товарного знака, знака обслуживания), месте нахождения (адрес) </w:t>
      </w:r>
      <w:r>
        <w:rPr>
          <w:sz w:val="28"/>
          <w:szCs w:val="28"/>
        </w:rPr>
        <w:br/>
        <w:t xml:space="preserve">и режиме работы, размещаемая у входной группы капитального объекта </w:t>
      </w:r>
      <w:r>
        <w:rPr>
          <w:sz w:val="28"/>
          <w:szCs w:val="28"/>
        </w:rPr>
        <w:br/>
        <w:t xml:space="preserve">в соответствии с настоящими Требованиями либо на остеклении входной группы в виде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выклейки</w:t>
      </w:r>
      <w:proofErr w:type="spellEnd"/>
      <w:r>
        <w:rPr>
          <w:sz w:val="28"/>
          <w:szCs w:val="28"/>
        </w:rPr>
        <w:t xml:space="preserve"> буквенных, цифровых символов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(знаков) </w:t>
      </w:r>
      <w:r>
        <w:rPr>
          <w:sz w:val="28"/>
          <w:szCs w:val="28"/>
        </w:rPr>
        <w:br/>
        <w:t xml:space="preserve">из декоративной пленки.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Размещение вывесок осуществляется в соответствии с паспортом внешнего облика (колерным паспортом) капитального объекта с учетом законодательства об объектах культурного наследия, настоящих Требований.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Настоящие Требования не распространяются на визуальные устройства и средства информации, используемые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(инвалидов), типовые проекты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вывески, размещаемые на объектах культурного наследия, выявленных объектах культурного наследия. 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22F" w:rsidRDefault="0067322F" w:rsidP="006732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Требования к вывескам</w:t>
      </w:r>
      <w:r>
        <w:rPr>
          <w:sz w:val="28"/>
          <w:szCs w:val="28"/>
        </w:rPr>
        <w:t xml:space="preserve"> 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 Вывеска состоит из графической и (или) текстовой частей (рис. 1, 2, 3 Примеров вывесок, соответствующих Требованиям в границах гостевого маршрута (далее – Приложение). </w:t>
      </w:r>
      <w:proofErr w:type="gramEnd"/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 Графическая часть содержит изображение (логотипа, коммерческого обозначения, товарного знака, знака обслуживания организации (индивидуального предпринимателя) (рис. 1, 2, 3 Приложения). </w:t>
      </w:r>
      <w:proofErr w:type="gramEnd"/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 Текстовая часть содержит буквенные, цифровые символы (знаки) (наименование организации (индивидуального предпринимателя), их профиль деятельности, вид реализуемых ими товаров (услуг), их наименования (фирменное наименование, коммерческое обозначение) (рис. 1, 2, 3 Приложения). </w:t>
      </w:r>
      <w:proofErr w:type="gramEnd"/>
    </w:p>
    <w:p w:rsidR="0067322F" w:rsidRDefault="0067322F" w:rsidP="0067322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2.4 Высота текстовой части настенной конструкции не устанавливается.</w:t>
      </w:r>
    </w:p>
    <w:p w:rsidR="0067322F" w:rsidRDefault="0067322F" w:rsidP="0067322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выносной элемент (верхний, нижний) строчной буквы (знака) не более чем на 20 % (рис. 6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Графическая часть не должна превышать максимальную высоту текстовой части настенной конструкции, без учета высоты выносного элемента строчной буквы (знака), указанного в подпункте 2.4 Требований (рис. 4).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Настенная конструкция не должна отступать от стены более чем на 0,2 м (рис. 6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Панели-кронштейны не должны отступать от стены более чем на 0,2 м (рис. 6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Минимальное расстояние от уровня земли до нижнего края панели-кронштейна должно быть не менее 2,5 м (рис. 6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Минимальное расстояние между панелями-кронштейнами – 3 м (рис. 6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Максимальный размер информационных табличек – 0,5 м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0,7 м (рис. 11 Приложения). </w:t>
      </w:r>
    </w:p>
    <w:p w:rsidR="0067322F" w:rsidRDefault="0067322F" w:rsidP="0067322F">
      <w:pPr>
        <w:ind w:firstLine="70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2.11 Размещение информации, не предусмотренной пунктами 2.2, 2.3 настоящих Требований, на вывесках не допускается.</w:t>
      </w:r>
      <w:r>
        <w:rPr>
          <w:strike/>
          <w:sz w:val="28"/>
          <w:szCs w:val="28"/>
        </w:rPr>
        <w:t xml:space="preserve"> </w:t>
      </w:r>
    </w:p>
    <w:p w:rsidR="0067322F" w:rsidRDefault="0067322F" w:rsidP="0067322F">
      <w:pPr>
        <w:ind w:firstLine="70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2.12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опускается дублирование только одной части вывески (графической или текстовой) (рис. 5 Приложения).</w:t>
      </w:r>
      <w:r>
        <w:rPr>
          <w:strike/>
          <w:sz w:val="28"/>
          <w:szCs w:val="28"/>
        </w:rPr>
        <w:t xml:space="preserve">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2.13 Цветовое решение графической, текстовой частей вывески: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2.13.1 Вариант 1 – белые: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лицевая и боковая части настенной конструкции вывески (объемные буквы и знаки, логотип), консольной конструкции (панель-кронштейн):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9003 (сигнальный белый),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9010 (белый) (рис. 12 Приложения);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графической и (или) текстовой частей на настенной конструкции вывески (логотип), на консольной конструкции (панель-кронштейн) (сведения, указанные в подпункте 2.1.9 Правил благоустройства территории города Перми):</w:t>
      </w:r>
      <w:r>
        <w:rPr>
          <w:color w:val="000000"/>
          <w:sz w:val="28"/>
          <w:szCs w:val="28"/>
        </w:rPr>
        <w:t xml:space="preserve"> RAL 9004 (сигнальный черный), RAL 9011 (</w:t>
      </w:r>
      <w:proofErr w:type="spellStart"/>
      <w:r>
        <w:rPr>
          <w:color w:val="000000"/>
          <w:sz w:val="28"/>
          <w:szCs w:val="28"/>
        </w:rPr>
        <w:t>графитно-черный</w:t>
      </w:r>
      <w:proofErr w:type="spellEnd"/>
      <w:r>
        <w:rPr>
          <w:color w:val="000000"/>
          <w:sz w:val="28"/>
          <w:szCs w:val="28"/>
        </w:rPr>
        <w:t>), RAL 9017 (транспортный черный)</w:t>
      </w:r>
      <w:r>
        <w:rPr>
          <w:sz w:val="28"/>
          <w:szCs w:val="28"/>
        </w:rPr>
        <w:t xml:space="preserve"> (рис. 12 Приложения)</w:t>
      </w:r>
      <w:r>
        <w:rPr>
          <w:color w:val="000000"/>
          <w:sz w:val="28"/>
          <w:szCs w:val="28"/>
        </w:rPr>
        <w:t>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 Вариант 2 – белые с абрисом: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лицевая и боковая части настенной конструкции вывески (объемные буквы и знаки, логотип), лицевая часть консольной конструкции (панель-кронштейн): </w:t>
      </w:r>
      <w:proofErr w:type="gramStart"/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9003 (сигнальный белый),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9010 (белый) (рис. 13 Приложения);</w:t>
      </w:r>
      <w:proofErr w:type="gramEnd"/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боковая часть консольной конструкции (панель-кронштейн): не устанавливается, может использоваться один из цветов фирменного (корпоративного) стиля (рис. 13 Приложения);</w:t>
      </w:r>
    </w:p>
    <w:p w:rsidR="0067322F" w:rsidRDefault="0067322F" w:rsidP="0067322F">
      <w:pPr>
        <w:ind w:firstLine="7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изображение графической и (или) текстовой частей настенной конструкции вывески, консольной конструкции (панель-кронштейн) вывески: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RAL 9004 (сигнальный черный), RAL 9011 (</w:t>
      </w:r>
      <w:proofErr w:type="spellStart"/>
      <w:r>
        <w:rPr>
          <w:color w:val="000000"/>
          <w:sz w:val="28"/>
          <w:szCs w:val="28"/>
        </w:rPr>
        <w:t>графитно-черный</w:t>
      </w:r>
      <w:proofErr w:type="spellEnd"/>
      <w:r>
        <w:rPr>
          <w:color w:val="000000"/>
          <w:sz w:val="28"/>
          <w:szCs w:val="28"/>
        </w:rPr>
        <w:t>), RAL 9017 (транспортный черный)</w:t>
      </w:r>
      <w:r>
        <w:rPr>
          <w:sz w:val="28"/>
          <w:szCs w:val="28"/>
        </w:rPr>
        <w:t xml:space="preserve"> (рис. 13 Приложения)</w:t>
      </w:r>
      <w:r>
        <w:rPr>
          <w:color w:val="000000"/>
          <w:sz w:val="28"/>
          <w:szCs w:val="28"/>
        </w:rPr>
        <w:t>;</w:t>
      </w:r>
      <w:proofErr w:type="gramEnd"/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размещения настенной конструкции вывески (объемные буквы </w:t>
      </w:r>
      <w:r>
        <w:rPr>
          <w:sz w:val="28"/>
          <w:szCs w:val="28"/>
        </w:rPr>
        <w:br/>
        <w:t xml:space="preserve">и знаки, логотип) на светлом фасаде позади каждой объемной буквы, знака, логотипа должен использоваться абрис шириной не более 0,015 м; цветовое решение абриса не устанавливается, может использоваться один из цветов фирменного (корпоративного) стиля. В случае использования абриса, боковая часть консольной конструкции (панель-кронштейн) должна быть выполнена </w:t>
      </w:r>
      <w:r>
        <w:rPr>
          <w:sz w:val="28"/>
          <w:szCs w:val="28"/>
        </w:rPr>
        <w:br/>
        <w:t>в цвет фирменного (корпоративного) стиля соответствующий цвету абриса (применяется для одной организации) (рис. 13 Приложения);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2.13.3 Вариант 3 – белые с фирменным (корпоративным) цветом: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лицевая часть настенной конструкции вывески (объемные буквы и знаки, логотип), консольной конструкции (панель-кронштейн):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9003 (сигнальный белый),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9010 (белый) (рис. 14 Приложения);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боковая часть настенной конструкции вывески (объемные буквы и знаки, логотип), консольной конструкции (панель-кронштейн): не устанавливается, может использоваться один из цветов фирменного (корпоративного) стиля (рис. 14 Приложения);</w:t>
      </w:r>
      <w:proofErr w:type="gramEnd"/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графической и (или) текстовой частей настенной конструкции вывески, консольной конструкции (панель-кронштейн) </w:t>
      </w:r>
      <w:r>
        <w:rPr>
          <w:sz w:val="28"/>
          <w:szCs w:val="28"/>
        </w:rPr>
        <w:lastRenderedPageBreak/>
        <w:t>вывески:</w:t>
      </w:r>
      <w:r>
        <w:rPr>
          <w:color w:val="000000"/>
          <w:sz w:val="28"/>
          <w:szCs w:val="28"/>
        </w:rPr>
        <w:t xml:space="preserve"> RAL 9004 (сигнальный черный), RAL 9011 (</w:t>
      </w:r>
      <w:proofErr w:type="spellStart"/>
      <w:r>
        <w:rPr>
          <w:color w:val="000000"/>
          <w:sz w:val="28"/>
          <w:szCs w:val="28"/>
        </w:rPr>
        <w:t>графитно-черный</w:t>
      </w:r>
      <w:proofErr w:type="spellEnd"/>
      <w:r>
        <w:rPr>
          <w:color w:val="000000"/>
          <w:sz w:val="28"/>
          <w:szCs w:val="28"/>
        </w:rPr>
        <w:t xml:space="preserve">), RAL 9017 (транспортный черный) </w:t>
      </w:r>
      <w:r>
        <w:rPr>
          <w:sz w:val="28"/>
          <w:szCs w:val="28"/>
        </w:rPr>
        <w:t>(рис. 14 Приложения)</w:t>
      </w:r>
      <w:r>
        <w:rPr>
          <w:color w:val="000000"/>
          <w:sz w:val="28"/>
          <w:szCs w:val="28"/>
        </w:rPr>
        <w:t>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2.13.4 Вариант 4 – черные: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лицевая и боковая части настенной конструкции вывески (объемные буквы и знаки, логотип), консольной конструкции (панель-кронштейн): </w:t>
      </w:r>
      <w:r>
        <w:rPr>
          <w:color w:val="000000"/>
          <w:sz w:val="28"/>
          <w:szCs w:val="28"/>
        </w:rPr>
        <w:t>RAL 9004 (сигнальный черный), RAL 9011 (</w:t>
      </w:r>
      <w:proofErr w:type="spellStart"/>
      <w:r>
        <w:rPr>
          <w:color w:val="000000"/>
          <w:sz w:val="28"/>
          <w:szCs w:val="28"/>
        </w:rPr>
        <w:t>графитно-черный</w:t>
      </w:r>
      <w:proofErr w:type="spellEnd"/>
      <w:r>
        <w:rPr>
          <w:color w:val="000000"/>
          <w:sz w:val="28"/>
          <w:szCs w:val="28"/>
        </w:rPr>
        <w:t xml:space="preserve">), RAL 9017 (транспортный черный) </w:t>
      </w:r>
      <w:r>
        <w:rPr>
          <w:sz w:val="28"/>
          <w:szCs w:val="28"/>
        </w:rPr>
        <w:t>(рис. 15 Приложения)</w:t>
      </w:r>
      <w:r>
        <w:rPr>
          <w:color w:val="000000"/>
          <w:sz w:val="28"/>
          <w:szCs w:val="28"/>
        </w:rPr>
        <w:t>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графической и (или) текстовой частей настенной конструкции вывески, консольной конструкции (панель-кронштейн) вывески:</w:t>
      </w:r>
      <w:r>
        <w:rPr>
          <w:color w:val="000000"/>
          <w:sz w:val="28"/>
          <w:szCs w:val="28"/>
        </w:rPr>
        <w:t xml:space="preserve"> RAL</w:t>
      </w:r>
      <w:r>
        <w:rPr>
          <w:sz w:val="28"/>
          <w:szCs w:val="28"/>
        </w:rPr>
        <w:t xml:space="preserve"> 9003 (сигнальный белый),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9010 (белый) (рис. 15 Приложения).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Вариант 4 применяется на протяжении всего фасада;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2.13.5 Вариант 5: </w:t>
      </w:r>
    </w:p>
    <w:p w:rsidR="0067322F" w:rsidRDefault="0067322F" w:rsidP="0067322F">
      <w:pPr>
        <w:ind w:firstLine="7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лицевая и боковая части настенной конструкции вывески (объемные буквы и знаки): </w:t>
      </w:r>
      <w:r>
        <w:rPr>
          <w:color w:val="000000"/>
          <w:sz w:val="28"/>
          <w:szCs w:val="28"/>
        </w:rPr>
        <w:t>RAL 9006 (бело-алюминиевый), RAL 9007 (темно-алюминиевый), RAL 1035 (перламутрово-бежевый), RAL 1036 (перламутрово-золотой);</w:t>
      </w:r>
    </w:p>
    <w:p w:rsidR="0067322F" w:rsidRDefault="0067322F" w:rsidP="0067322F">
      <w:pPr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цветовое решение </w:t>
      </w:r>
      <w:r>
        <w:rPr>
          <w:sz w:val="28"/>
          <w:szCs w:val="28"/>
        </w:rPr>
        <w:t>изображения графической части настенной конструкции вывески (логотип) не устанавливается.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 5 </w:t>
      </w:r>
      <w:r>
        <w:rPr>
          <w:sz w:val="28"/>
          <w:szCs w:val="28"/>
        </w:rPr>
        <w:t xml:space="preserve">применяется </w:t>
      </w:r>
      <w:r>
        <w:rPr>
          <w:color w:val="000000"/>
          <w:sz w:val="28"/>
          <w:szCs w:val="28"/>
        </w:rPr>
        <w:t>для исполнительных органов власти, их подведомственных учреждений, надзорных органов.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22F" w:rsidRDefault="0067322F" w:rsidP="006732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Требования к размещению и эксплуатации</w:t>
      </w:r>
      <w:r>
        <w:rPr>
          <w:sz w:val="28"/>
          <w:szCs w:val="28"/>
        </w:rPr>
        <w:t xml:space="preserve"> </w:t>
      </w:r>
    </w:p>
    <w:p w:rsidR="0067322F" w:rsidRDefault="0067322F" w:rsidP="006732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вывесок</w:t>
      </w:r>
      <w:r>
        <w:rPr>
          <w:sz w:val="28"/>
          <w:szCs w:val="28"/>
        </w:rPr>
        <w:t xml:space="preserve"> 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Вывеска должна располагаться в месте фактического нахождения или осуществления деятельности организации (индивидуального предпринимателя) (рис. 8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се вывески на одном фасаде капитального объекта должны быть отцентрированы относительно единой горизонтальной оси (рис. 4, 5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аждая вывеска и (или) каждая часть вывески (графическая и (или) текстовая части) центруются относительно окон, арок, дверей и других архитектурных элементов при расположении над ними (рис. 7 Приложения).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сли вход в помещение один, вывески одной организации (индивидуального предпринимателя) на одном фасаде не могут находиться ближе чем 1 м от вывески другой организации (индивидуального предпринимателя) (рис. 6 Приложения), за исключением требований пункта 2.9 настоящих Требований.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наличии нескольких входов в помещение допускается размещать вывески над каждым входом при условии сохранения минимального расстояния между ними - не менее 1 м, за исключением требований пункта 2.9 настоящих Требований (рис. 8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опускается: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3.6.1 размещение вывески только в границах занимаемого нежилого помещения;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 размещение вывески на крышах, ограждениях лоджий, балконов с соблюдением законодательства.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допускается: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 перекрытие (закрытие) вывеской указателя с наименованием улицы </w:t>
      </w:r>
      <w:r>
        <w:rPr>
          <w:sz w:val="28"/>
          <w:szCs w:val="28"/>
        </w:rPr>
        <w:br/>
        <w:t xml:space="preserve">и номера дома (здания), а также размещение вывески на расстоянии меньше </w:t>
      </w:r>
      <w:r>
        <w:rPr>
          <w:sz w:val="28"/>
          <w:szCs w:val="28"/>
        </w:rPr>
        <w:br/>
        <w:t xml:space="preserve">чем 1 м от памятных знаков, мемориальных досок, охранных досок, указателей </w:t>
      </w:r>
      <w:r>
        <w:rPr>
          <w:sz w:val="28"/>
          <w:szCs w:val="28"/>
        </w:rPr>
        <w:br/>
        <w:t>с наименованием улиц и номерами домов (зданий) (рис. 8 Приложения);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3.7.2 размещение вертикальной вывески на угловых частях фасада.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Вывеска не должна превышать размеры козырька по высоте, длине.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апрещается размещение вывесок на архитектурных элементах фасадов: водосточных трубах, приямках (для окон цокольного и подвального этажей), колоннах, пилястрах, декоративных элементах (орнаментах, лепнине).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апрещается размещение вывесок с внутренней стороны витрин, витражей, оконных блоков, за исключением размещения вывески в виде сплошной панели (высотой не более половины высоты одного остекления витрины, витража, оконного блока, шириной не более половины ширины одного остекления витрины, витража, оконного блока) путем крепления такой панели подвесами к верхней части проема витрины, витража, оконного блока (например, на тросах) с отступом от остекления не менее чем на 0,15 м, вывески в виде объемных и (или) плоских букв и знаков без подложки, согласованной в паспорте внешнего облика (колерном паспорте) капитального объекта (рис. 9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маркизах размещаются графическая и (или) текстовая части вывески.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каждой входной группы капитального объекта размещается не более 3 информационных табличек. Информационная табличка размещается на расстоянии не более 0,5 м от входной группы (справа, слева, сверху) либо непосредственно на дверях. Информационные таблички должны быть выполнены одного размера по высоте и ширине, из одного материала, за исключением информационной таблички, располагаемой сверху входной группы, визуальных устройств и средств информации, используемых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(инвалидов) (рис. 11 Приложения).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размещении в одном капитальном объекте более 3 организаций (индивидуальных предпринимателей) информационные таблички различных организаций (индивидуальных предпринимателей) заменяются на сгруппированные модульные таблички, размещение которых не должно превышать верхнюю отметку входной группы. </w:t>
      </w:r>
    </w:p>
    <w:p w:rsidR="0067322F" w:rsidRDefault="0067322F" w:rsidP="0067322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 Сгруппированные модульные таблички должны быть выполнены одного размера по высоте и ширине, из одного материала, иметь одинаковую схему расположения информации (графические и текстовые части с </w:t>
      </w:r>
      <w:r>
        <w:rPr>
          <w:sz w:val="28"/>
          <w:szCs w:val="28"/>
        </w:rPr>
        <w:lastRenderedPageBreak/>
        <w:t>указанием фактического нахождения организаций (индивидуальных предпринимателей)) (рис. 10 Приложения).</w:t>
      </w:r>
    </w:p>
    <w:p w:rsidR="0067322F" w:rsidRDefault="0067322F" w:rsidP="0067322F">
      <w:pPr>
        <w:ind w:firstLine="7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3.15 Информационные таблички, в том числе сгруппированные должны быть выполнены из прозрачного материала (стекло, пластик), информация должна быть выполнена в виде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выклейки</w:t>
      </w:r>
      <w:proofErr w:type="spellEnd"/>
      <w:r>
        <w:rPr>
          <w:sz w:val="28"/>
          <w:szCs w:val="28"/>
        </w:rPr>
        <w:t xml:space="preserve"> буквенных, цифровых символов (знаков) из декоративной пленки: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9003 (сигнальный белый), </w:t>
      </w:r>
      <w:r>
        <w:rPr>
          <w:color w:val="000000"/>
          <w:sz w:val="28"/>
          <w:szCs w:val="28"/>
        </w:rPr>
        <w:t>RAL</w:t>
      </w:r>
      <w:r>
        <w:rPr>
          <w:sz w:val="28"/>
          <w:szCs w:val="28"/>
        </w:rPr>
        <w:t xml:space="preserve"> 9010 (белый),</w:t>
      </w:r>
      <w:r>
        <w:rPr>
          <w:color w:val="000000"/>
          <w:sz w:val="28"/>
          <w:szCs w:val="28"/>
        </w:rPr>
        <w:t xml:space="preserve"> RAL 9004 (сигнальный черный), RAL 9011 (</w:t>
      </w:r>
      <w:proofErr w:type="spellStart"/>
      <w:r>
        <w:rPr>
          <w:color w:val="000000"/>
          <w:sz w:val="28"/>
          <w:szCs w:val="28"/>
        </w:rPr>
        <w:t>графитно-черный</w:t>
      </w:r>
      <w:proofErr w:type="spellEnd"/>
      <w:r>
        <w:rPr>
          <w:color w:val="000000"/>
          <w:sz w:val="28"/>
          <w:szCs w:val="28"/>
        </w:rPr>
        <w:t>), RAL 9017 (транспортный черный) (рис.10 Приложения).</w:t>
      </w:r>
    </w:p>
    <w:p w:rsidR="0067322F" w:rsidRDefault="0067322F" w:rsidP="0067322F">
      <w:pPr>
        <w:ind w:firstLine="7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Информационные таблички, в том числе сгруппированные </w:t>
      </w:r>
      <w:r>
        <w:rPr>
          <w:color w:val="000000"/>
          <w:sz w:val="28"/>
          <w:szCs w:val="28"/>
        </w:rPr>
        <w:t xml:space="preserve">исполнительных органов власти, их подведомственных учреждений, надзорных органов должны быть выполнены </w:t>
      </w:r>
      <w:r>
        <w:rPr>
          <w:sz w:val="28"/>
          <w:szCs w:val="28"/>
        </w:rPr>
        <w:t xml:space="preserve">из прозрачного материала (стекло, пластик), информация должна быть выполнена в виде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выклейки</w:t>
      </w:r>
      <w:proofErr w:type="spellEnd"/>
      <w:r>
        <w:rPr>
          <w:sz w:val="28"/>
          <w:szCs w:val="28"/>
        </w:rPr>
        <w:t xml:space="preserve"> буквенных, цифровых символов (знаков) из декоративной пленки:</w:t>
      </w:r>
      <w:r>
        <w:rPr>
          <w:color w:val="000000"/>
          <w:sz w:val="28"/>
          <w:szCs w:val="28"/>
        </w:rPr>
        <w:t xml:space="preserve"> RAL 9006 (бело-алюминиевый), RAL 9007 (темно-алюминиевый), RAL 1035 (перламутрово-бежевый), RAL 1036 (перламутрово-золотой).</w:t>
      </w:r>
    </w:p>
    <w:p w:rsidR="0067322F" w:rsidRDefault="0067322F" w:rsidP="0067322F">
      <w:pPr>
        <w:ind w:firstLine="567"/>
        <w:jc w:val="both"/>
        <w:rPr>
          <w:b/>
          <w:sz w:val="28"/>
          <w:szCs w:val="28"/>
        </w:rPr>
      </w:pPr>
    </w:p>
    <w:p w:rsidR="0067322F" w:rsidRDefault="0067322F" w:rsidP="0067322F">
      <w:pPr>
        <w:ind w:firstLine="567"/>
        <w:jc w:val="both"/>
        <w:rPr>
          <w:b/>
          <w:sz w:val="28"/>
          <w:szCs w:val="28"/>
        </w:rPr>
      </w:pPr>
    </w:p>
    <w:p w:rsidR="0067322F" w:rsidRDefault="0067322F" w:rsidP="0067322F">
      <w:pPr>
        <w:ind w:firstLine="567"/>
        <w:jc w:val="both"/>
        <w:rPr>
          <w:b/>
          <w:sz w:val="28"/>
          <w:szCs w:val="28"/>
        </w:rPr>
      </w:pPr>
    </w:p>
    <w:p w:rsidR="0067322F" w:rsidRDefault="0067322F" w:rsidP="0067322F">
      <w:pPr>
        <w:ind w:firstLine="567"/>
        <w:jc w:val="both"/>
        <w:rPr>
          <w:b/>
          <w:sz w:val="28"/>
          <w:szCs w:val="28"/>
        </w:rPr>
      </w:pPr>
    </w:p>
    <w:p w:rsidR="00AB4AEE" w:rsidRDefault="00AB4AEE"/>
    <w:sectPr w:rsidR="00AB4AEE" w:rsidSect="00A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F8" w:rsidRDefault="008948F8" w:rsidP="00DA5010">
      <w:r>
        <w:separator/>
      </w:r>
    </w:p>
  </w:endnote>
  <w:endnote w:type="continuationSeparator" w:id="0">
    <w:p w:rsidR="008948F8" w:rsidRDefault="008948F8" w:rsidP="00DA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F8" w:rsidRDefault="008948F8" w:rsidP="00DA5010">
      <w:r>
        <w:separator/>
      </w:r>
    </w:p>
  </w:footnote>
  <w:footnote w:type="continuationSeparator" w:id="0">
    <w:p w:rsidR="008948F8" w:rsidRDefault="008948F8" w:rsidP="00DA5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F4" w:rsidRDefault="00DA5010">
    <w:pPr>
      <w:pStyle w:val="Header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E34E2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479F4" w:rsidRDefault="008948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F4" w:rsidRDefault="00DA5010">
    <w:pPr>
      <w:pStyle w:val="Header"/>
      <w:jc w:val="center"/>
    </w:pPr>
    <w:r>
      <w:fldChar w:fldCharType="begin"/>
    </w:r>
    <w:r w:rsidR="00EE34E2">
      <w:instrText>PAGE \* MERGEFORMAT</w:instrText>
    </w:r>
    <w:r>
      <w:fldChar w:fldCharType="separate"/>
    </w:r>
    <w:r w:rsidR="00A50A88">
      <w:rPr>
        <w:noProof/>
      </w:rPr>
      <w:t>2</w:t>
    </w:r>
    <w:r>
      <w:fldChar w:fldCharType="end"/>
    </w:r>
  </w:p>
  <w:p w:rsidR="009479F4" w:rsidRDefault="008948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F4" w:rsidRDefault="00894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2F"/>
    <w:rsid w:val="00182BEC"/>
    <w:rsid w:val="0067322F"/>
    <w:rsid w:val="007B27F9"/>
    <w:rsid w:val="008948F8"/>
    <w:rsid w:val="008C0E67"/>
    <w:rsid w:val="00A175F9"/>
    <w:rsid w:val="00A50A88"/>
    <w:rsid w:val="00AB4AEE"/>
    <w:rsid w:val="00DA5010"/>
    <w:rsid w:val="00E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67322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7322F"/>
    <w:rPr>
      <w:sz w:val="24"/>
      <w:szCs w:val="24"/>
    </w:rPr>
  </w:style>
  <w:style w:type="character" w:customStyle="1" w:styleId="QuoteChar">
    <w:name w:val="Quote Char"/>
    <w:uiPriority w:val="29"/>
    <w:rsid w:val="0067322F"/>
    <w:rPr>
      <w:i/>
    </w:rPr>
  </w:style>
  <w:style w:type="character" w:customStyle="1" w:styleId="IntenseQuoteChar">
    <w:name w:val="Intense Quote Char"/>
    <w:uiPriority w:val="30"/>
    <w:rsid w:val="0067322F"/>
    <w:rPr>
      <w:i/>
    </w:rPr>
  </w:style>
  <w:style w:type="character" w:customStyle="1" w:styleId="EndnoteTextChar">
    <w:name w:val="Endnote Text Char"/>
    <w:uiPriority w:val="99"/>
    <w:rsid w:val="0067322F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67322F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"/>
    <w:uiPriority w:val="9"/>
    <w:qFormat/>
    <w:rsid w:val="0067322F"/>
    <w:pPr>
      <w:keepNext/>
      <w:ind w:right="-1"/>
      <w:jc w:val="both"/>
      <w:outlineLvl w:val="1"/>
    </w:pPr>
  </w:style>
  <w:style w:type="character" w:customStyle="1" w:styleId="Heading1Char">
    <w:name w:val="Heading 1 Char"/>
    <w:link w:val="Heading1"/>
    <w:uiPriority w:val="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uiPriority w:val="9"/>
    <w:rsid w:val="006732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732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7322F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32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7322F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32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7322F"/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32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7322F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32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7322F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32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7322F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32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7322F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67322F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4">
    <w:name w:val="No Spacing"/>
    <w:uiPriority w:val="1"/>
    <w:qFormat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732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7322F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6732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Quote"/>
    <w:basedOn w:val="a"/>
    <w:next w:val="a"/>
    <w:link w:val="21"/>
    <w:uiPriority w:val="29"/>
    <w:qFormat/>
    <w:rsid w:val="0067322F"/>
    <w:pPr>
      <w:ind w:left="720" w:right="720"/>
    </w:pPr>
    <w:rPr>
      <w:i/>
    </w:rPr>
  </w:style>
  <w:style w:type="character" w:customStyle="1" w:styleId="21">
    <w:name w:val="Цитата 2 Знак"/>
    <w:basedOn w:val="a0"/>
    <w:link w:val="20"/>
    <w:uiPriority w:val="29"/>
    <w:rsid w:val="0067322F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6732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67322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zh-CN"/>
    </w:rPr>
  </w:style>
  <w:style w:type="paragraph" w:customStyle="1" w:styleId="Header">
    <w:name w:val="Header"/>
    <w:basedOn w:val="a"/>
    <w:link w:val="HeaderChar"/>
    <w:uiPriority w:val="99"/>
    <w:unhideWhenUsed/>
    <w:rsid w:val="0067322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basedOn w:val="a"/>
    <w:link w:val="CaptionChar"/>
    <w:uiPriority w:val="99"/>
    <w:unhideWhenUsed/>
    <w:rsid w:val="0067322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7322F"/>
  </w:style>
  <w:style w:type="paragraph" w:customStyle="1" w:styleId="Caption">
    <w:name w:val="Caption"/>
    <w:basedOn w:val="a"/>
    <w:next w:val="a"/>
    <w:unhideWhenUsed/>
    <w:qFormat/>
    <w:rsid w:val="006732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b">
    <w:name w:val="Table Grid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7322F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67322F"/>
  </w:style>
  <w:style w:type="character" w:customStyle="1" w:styleId="ae">
    <w:name w:val="Текст сноски Знак"/>
    <w:basedOn w:val="a0"/>
    <w:link w:val="ad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67322F"/>
    <w:rPr>
      <w:sz w:val="18"/>
    </w:rPr>
  </w:style>
  <w:style w:type="character" w:styleId="af">
    <w:name w:val="footnote reference"/>
    <w:uiPriority w:val="99"/>
    <w:unhideWhenUsed/>
    <w:rsid w:val="0067322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7322F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endnote reference"/>
    <w:uiPriority w:val="99"/>
    <w:semiHidden/>
    <w:unhideWhenUsed/>
    <w:rsid w:val="0067322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7322F"/>
    <w:pPr>
      <w:spacing w:after="57"/>
    </w:pPr>
  </w:style>
  <w:style w:type="paragraph" w:styleId="22">
    <w:name w:val="toc 2"/>
    <w:basedOn w:val="a"/>
    <w:next w:val="a"/>
    <w:uiPriority w:val="39"/>
    <w:unhideWhenUsed/>
    <w:rsid w:val="006732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32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32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32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32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32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32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322F"/>
    <w:pPr>
      <w:spacing w:after="57"/>
      <w:ind w:left="2268"/>
    </w:pPr>
  </w:style>
  <w:style w:type="character" w:customStyle="1" w:styleId="10">
    <w:name w:val="Заголовок 1 Знак"/>
    <w:basedOn w:val="a0"/>
    <w:link w:val="1"/>
    <w:rsid w:val="0067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3">
    <w:name w:val="TOC Heading"/>
    <w:uiPriority w:val="39"/>
    <w:unhideWhenUsed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table of figures"/>
    <w:basedOn w:val="a"/>
    <w:next w:val="a"/>
    <w:uiPriority w:val="99"/>
    <w:unhideWhenUsed/>
    <w:rsid w:val="0067322F"/>
  </w:style>
  <w:style w:type="character" w:customStyle="1" w:styleId="2">
    <w:name w:val="Заголовок 2 Знак"/>
    <w:basedOn w:val="a0"/>
    <w:link w:val="Heading2"/>
    <w:uiPriority w:val="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Body Text"/>
    <w:basedOn w:val="a"/>
    <w:link w:val="af6"/>
    <w:rsid w:val="0067322F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67322F"/>
    <w:rPr>
      <w:rFonts w:ascii="Courier New" w:eastAsia="Times New Roman" w:hAnsi="Courier New" w:cs="Times New Roman"/>
      <w:sz w:val="26"/>
      <w:szCs w:val="20"/>
      <w:lang w:eastAsia="zh-CN"/>
    </w:rPr>
  </w:style>
  <w:style w:type="paragraph" w:styleId="af7">
    <w:name w:val="Body Text Indent"/>
    <w:basedOn w:val="a"/>
    <w:link w:val="af8"/>
    <w:rsid w:val="0067322F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67322F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9">
    <w:name w:val="Нижний колонтитул Знак"/>
    <w:basedOn w:val="a0"/>
    <w:uiPriority w:val="99"/>
    <w:rsid w:val="0067322F"/>
  </w:style>
  <w:style w:type="character" w:styleId="afa">
    <w:name w:val="page number"/>
    <w:basedOn w:val="a0"/>
    <w:rsid w:val="0067322F"/>
  </w:style>
  <w:style w:type="character" w:customStyle="1" w:styleId="afb">
    <w:name w:val="Верхний колонтитул Знак"/>
    <w:uiPriority w:val="99"/>
    <w:rsid w:val="0067322F"/>
  </w:style>
  <w:style w:type="paragraph" w:styleId="afc">
    <w:name w:val="Balloon Text"/>
    <w:basedOn w:val="a"/>
    <w:link w:val="afd"/>
    <w:uiPriority w:val="99"/>
    <w:rsid w:val="0067322F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67322F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ConsPlusNormal">
    <w:name w:val="ConsPlusNormal"/>
    <w:link w:val="ConsPlusNormal0"/>
    <w:uiPriority w:val="99"/>
    <w:rsid w:val="0067322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7322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Текст примечания Знак"/>
    <w:link w:val="aff"/>
    <w:uiPriority w:val="99"/>
    <w:rsid w:val="0067322F"/>
    <w:rPr>
      <w:rFonts w:ascii="Calibri" w:eastAsia="Calibri" w:hAnsi="Calibri" w:cs="Times New Roman"/>
    </w:rPr>
  </w:style>
  <w:style w:type="paragraph" w:styleId="aff">
    <w:name w:val="annotation text"/>
    <w:basedOn w:val="a"/>
    <w:link w:val="afe"/>
    <w:uiPriority w:val="99"/>
    <w:unhideWhenUsed/>
    <w:rsid w:val="0067322F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link w:val="aff"/>
    <w:uiPriority w:val="99"/>
    <w:semiHidden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rmalchar">
    <w:name w:val="normal__char"/>
    <w:basedOn w:val="a0"/>
    <w:rsid w:val="0067322F"/>
  </w:style>
  <w:style w:type="character" w:customStyle="1" w:styleId="HTML">
    <w:name w:val="Стандартный HTML Знак"/>
    <w:basedOn w:val="a0"/>
    <w:link w:val="HTML0"/>
    <w:uiPriority w:val="99"/>
    <w:rsid w:val="0067322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673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7322F"/>
    <w:rPr>
      <w:rFonts w:ascii="Consolas" w:eastAsia="Times New Roman" w:hAnsi="Consolas" w:cs="Consolas"/>
      <w:sz w:val="20"/>
      <w:szCs w:val="20"/>
      <w:lang w:eastAsia="zh-CN"/>
    </w:rPr>
  </w:style>
  <w:style w:type="paragraph" w:styleId="aff0">
    <w:name w:val="Normal (Web)"/>
    <w:basedOn w:val="a"/>
    <w:uiPriority w:val="99"/>
    <w:unhideWhenUsed/>
    <w:rsid w:val="00673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hyperlink" Target="consultantplus://offline/ref=C41632C412696B81FFD3EC343D3AA9F3349E21309769C68D7E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25" Type="http://schemas.openxmlformats.org/officeDocument/2006/relationships/hyperlink" Target="https://login.consultant.ru/link/?req=doc&amp;base=RLAW368&amp;n=19207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5590</Words>
  <Characters>31869</Characters>
  <Application>Microsoft Office Word</Application>
  <DocSecurity>0</DocSecurity>
  <Lines>265</Lines>
  <Paragraphs>74</Paragraphs>
  <ScaleCrop>false</ScaleCrop>
  <Company>ДПиР</Company>
  <LinksUpToDate>false</LinksUpToDate>
  <CharactersWithSpaces>37385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2025-03-20T06:00:00Z</dcterms:created>
  <dcterms:modified xsi:type="dcterms:W3CDTF">2025-03-20T06:00:00Z</dcterms:modified>
</cp:coreProperties>
</file>