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8C5C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8C5C3F" w:rsidRDefault="008C5C3F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8C5C3F" w:rsidRDefault="00A25ED5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8C5C3F" w:rsidRDefault="00A25ED5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8C5C3F" w:rsidRDefault="008C5C3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C5C3F" w:rsidRDefault="008C5C3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C5C3F" w:rsidRDefault="008C5C3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C5C3F" w:rsidRDefault="008C5C3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25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8C5C3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C5C3F" w:rsidRDefault="00A25ED5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</w:t>
      </w:r>
      <w:r>
        <w:rPr>
          <w:rFonts w:ascii="Times New Roman" w:hAnsi="Times New Roman" w:cs="Times New Roman"/>
          <w:b/>
          <w:bCs/>
          <w:sz w:val="28"/>
          <w:szCs w:val="28"/>
        </w:rPr>
        <w:t>в по строительству, реконструкции и (или) модернизации объектов теплоснабжения на территории города Перми»</w:t>
      </w:r>
      <w:proofErr w:type="gramEnd"/>
    </w:p>
    <w:p w:rsidR="008C5C3F" w:rsidRDefault="00A25E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города Перми</w:t>
      </w:r>
    </w:p>
    <w:p w:rsidR="008C5C3F" w:rsidRDefault="008C5C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3F" w:rsidRDefault="00A25E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 а:</w:t>
      </w:r>
    </w:p>
    <w:p w:rsidR="008C5C3F" w:rsidRDefault="008C5C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</w:t>
      </w:r>
      <w:r>
        <w:rPr>
          <w:rFonts w:ascii="Times New Roman" w:hAnsi="Times New Roman" w:cs="Times New Roman"/>
          <w:sz w:val="28"/>
          <w:szCs w:val="28"/>
        </w:rPr>
        <w:t>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города Перми» </w:t>
      </w:r>
      <w:r>
        <w:rPr>
          <w:rFonts w:ascii="Times New Roman" w:hAnsi="Times New Roman" w:cs="Times New Roman"/>
          <w:sz w:val="28"/>
          <w:szCs w:val="28"/>
        </w:rPr>
        <w:br/>
        <w:t>(в редакции решений Пермской городской Думы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22.02.2022 № 39, от 24.05.2022 № 124, от 22.08.2023 № 163, от 25.06.2024 № 111, от 25.06.2024 </w:t>
      </w:r>
      <w:r>
        <w:rPr>
          <w:rFonts w:ascii="Times New Roman" w:hAnsi="Times New Roman" w:cs="Times New Roman"/>
          <w:sz w:val="28"/>
          <w:szCs w:val="28"/>
        </w:rPr>
        <w:br/>
        <w:t>№ 117), изменения:</w:t>
      </w:r>
      <w:proofErr w:type="gramEnd"/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признать утратившим силу пункт 1.11;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дополнить разделом </w:t>
      </w:r>
      <w:r>
        <w:rPr>
          <w:rFonts w:ascii="Times New Roman" w:hAnsi="Times New Roman" w:cs="Times New Roman"/>
          <w:sz w:val="28"/>
          <w:szCs w:val="28"/>
        </w:rPr>
        <w:t>следую</w:t>
      </w:r>
      <w:r>
        <w:rPr>
          <w:rFonts w:ascii="Times New Roman" w:hAnsi="Times New Roman" w:cs="Times New Roman"/>
          <w:sz w:val="28"/>
          <w:szCs w:val="28"/>
        </w:rPr>
        <w:t>щего содержания: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- категория риска):</w:t>
      </w:r>
    </w:p>
    <w:p w:rsidR="008C5C3F" w:rsidRDefault="00A25ED5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риск;</w:t>
      </w:r>
    </w:p>
    <w:p w:rsidR="008C5C3F" w:rsidRDefault="00A25ED5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умеренный риск;</w:t>
      </w:r>
    </w:p>
    <w:p w:rsidR="008C5C3F" w:rsidRDefault="00A25ED5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низкий риск.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 Отнесение объекта Муни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ципального контроля к одной из предусмотренных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к категориям риска: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.2.1 к категории среднего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риска, имеются не исполненные в срок предписания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факту несоблюдения обязательных требований;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.2.2 к категории умеренного риска -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имеются исполненные предписания по факту несоблюдения обязательных требований;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8C5C3F" w:rsidRDefault="00A25ED5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случае, если объект контроля не отнесен Органом контроля к опр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еделенной категории риска, он считается отнесенным к категории низкого риска.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.4 Орган контроля при сборе, обработке, анализе и учете сведений об объектах 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 запросу контроли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руемого лица Орган контроля предоставляет информацию об отнесении его деятельности к соответствующей категории риска.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.6 Контролируемое лицо, в том числе с использованием единого портала государственных и муниципальных услуг (функций), вправе подать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риска для отнесения к иной категории риск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а.</w:t>
      </w:r>
      <w:proofErr w:type="gramEnd"/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.7 Плановые контрольные мероприятия при осуществлении Муниципального контроля не проводятся.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1) в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тношении объектов Муниципального контроля, отнесенных к категории среднего риска, периодичность проведения обязательных профилактических визитов определяется Правительством Российской Федерации;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2) в отношении объектов Муниципального контроля, отнесенных 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категории умеренного риска, проводятся профилактические визиты, периодичность которых определяется Правительством Российской Федерации;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3) в отношении объектов контроля, отнесенных к категории низкого риска, контрольные мероприятия и обязательные профилак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тические визиты не проводятся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.».</w:t>
      </w:r>
      <w:proofErr w:type="gramEnd"/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 пункт 2.7 дополнить словами «,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.».</w:t>
      </w:r>
      <w:proofErr w:type="gramEnd"/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1.4 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 2.21: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1.4.1 подпункт 2.21.1 после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дополнить словами «или мобильного приложения «Инспектор»;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1.4.2 подпункт 2.21.2 изложить в редакции: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«2.21.2 профилактический визит проводится по инициативе Органа контроля (обязательный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филактический визит) или по инициативе контролируемого лица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  <w:proofErr w:type="gramEnd"/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1.4.3 подпункты 2.21.3-2.21.14 признать утратившими силу;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 дополнить пунктами 2.22, 2.23 следующего содержания: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«2.22 Обязательный профилактический визит проводится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br/>
        <w:t>со статье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й 52.1 Федерального закона о контроле.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2.23 Профилактический визит по инициативе контролируемого лица проводится в соответствии со статьей 52.2 Федерального закона о контроле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  <w:proofErr w:type="gramEnd"/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 в пункте 3.4: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1.5.1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после слов «пунктами 1, 3, 4, 5» дополнить цифрами «,7, 9»;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1.5.2 слова «после согласования с органами прокуратуры» исключить;</w:t>
      </w:r>
    </w:p>
    <w:p w:rsidR="008C5C3F" w:rsidRDefault="00A25ED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1.5.3 в подпункте 3.4.1 слова «по основанию, предусмотренному пунктом 1» заменить словами «по основания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м, предусмотренным пунктам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1,7,9,»;</w:t>
      </w:r>
    </w:p>
    <w:p w:rsidR="008C5C3F" w:rsidRDefault="00A25ED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1.5.4 пункт 3.4.2 дополнить словами «, в случае, если поручение не содержит указанные на вид контроля и (или) перечень контролируемых лиц, в отношении которых должны быть проведены контрольные мероприятия, в целях такого поручения принимается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ручение заместителя Председателя Правительства Российской Федерации.</w:t>
      </w:r>
    </w:p>
    <w:p w:rsidR="008C5C3F" w:rsidRDefault="00A25ED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Поручения заместителя Председателя Правительства Российской Федерации о проведения контрольных мероприятий должны содержать следующие сведения:</w:t>
      </w:r>
    </w:p>
    <w:p w:rsidR="008C5C3F" w:rsidRDefault="00A25ED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1)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 контроля, в рамках которого должны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ыть проведены контрольные мероприятия;</w:t>
      </w:r>
    </w:p>
    <w:p w:rsidR="008C5C3F" w:rsidRDefault="00A25ED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перечень контролируемых лиц, в отношении которых должны быть проведены контрольные мероприятия;</w:t>
      </w:r>
    </w:p>
    <w:p w:rsidR="008C5C3F" w:rsidRDefault="00A25ED5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вид и предмет контрольного мероприятия;</w:t>
      </w:r>
    </w:p>
    <w:p w:rsidR="008C5C3F" w:rsidRDefault="00A25ED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период, в течение которого должны быть проведены контрольные мероприятия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1.6 пункт 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изложить в редакции: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Сбор, обработка, анализ и учет сведений об объектах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ний в рамках обязательного профилактического визита). При осуществлении сбора, обработки, анализа и учета сведений об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объектах Муниципального контроля в целях их отнесения к категориям риска либо определения индикаторов риска нарушения обязательных требова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ний на контролируемых лиц не могут возлагаться дополнительные обязанности, не предусмотренные федеральными законами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.».</w:t>
      </w:r>
      <w:proofErr w:type="gramEnd"/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1.7 пункт 3.7 дополнить абзацем следующего содержания: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«Инспекционный визит может быть проведен с использованием средств дистанционного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 также с использованием мобильного приложения «Инспектор»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;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1.8 пункт 3.10 дополнить абзацем следующего содержания: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«Рейдовый осмотр может быть проведен с использованием средств дистанционного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 также с использованием мобильного приложения «Инспектор»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;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1.9 пункт 3.16 дополнить абзацем следующего содержания: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«Выездная проверка может быть проведена с использованием средств дистанцио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 также с использованием мобильного приложения «Инспектор»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;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1.10 в пункте 3.23 слово «осуществляться» заменить словами «совершаться следующие контрольные действия»;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1.11 пункт 3.24 приз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нать утратившим силу.</w:t>
      </w:r>
    </w:p>
    <w:p w:rsidR="008C5C3F" w:rsidRDefault="00A25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город Пермь» .</w:t>
      </w:r>
    </w:p>
    <w:p w:rsidR="008C5C3F" w:rsidRDefault="00A25E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</w:t>
      </w:r>
      <w:bookmarkStart w:id="1" w:name="undefined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также в сетевом изд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ании «Официальный сайт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C5C3F" w:rsidRDefault="00A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зяйству.</w:t>
      </w:r>
    </w:p>
    <w:p w:rsidR="008C5C3F" w:rsidRDefault="008C5C3F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C3F" w:rsidRDefault="00A25ED5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</w:p>
    <w:p w:rsidR="008C5C3F" w:rsidRDefault="00A25ED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Д.В. Малютин</w:t>
      </w:r>
    </w:p>
    <w:p w:rsidR="008C5C3F" w:rsidRDefault="008C5C3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C5C3F" w:rsidRDefault="00A25ED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Э.О. Соснин</w:t>
      </w:r>
    </w:p>
    <w:p w:rsidR="008C5C3F" w:rsidRDefault="008C5C3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5C3F" w:rsidSect="008C5C3F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D5" w:rsidRDefault="00A25ED5">
      <w:pPr>
        <w:spacing w:after="0" w:line="240" w:lineRule="auto"/>
      </w:pPr>
      <w:r>
        <w:separator/>
      </w:r>
    </w:p>
  </w:endnote>
  <w:endnote w:type="continuationSeparator" w:id="0">
    <w:p w:rsidR="00A25ED5" w:rsidRDefault="00A2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D5" w:rsidRDefault="00A25ED5">
      <w:pPr>
        <w:spacing w:after="0" w:line="240" w:lineRule="auto"/>
      </w:pPr>
      <w:r>
        <w:separator/>
      </w:r>
    </w:p>
  </w:footnote>
  <w:footnote w:type="continuationSeparator" w:id="0">
    <w:p w:rsidR="00A25ED5" w:rsidRDefault="00A2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8C5C3F" w:rsidRDefault="008C5C3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25E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7B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C5C3F" w:rsidRDefault="008C5C3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2D4"/>
    <w:multiLevelType w:val="hybridMultilevel"/>
    <w:tmpl w:val="17F6B096"/>
    <w:lvl w:ilvl="0" w:tplc="DCBE10FC">
      <w:start w:val="1"/>
      <w:numFmt w:val="decimal"/>
      <w:lvlText w:val="%1)"/>
      <w:lvlJc w:val="left"/>
      <w:pPr>
        <w:ind w:left="1418" w:hanging="360"/>
      </w:pPr>
    </w:lvl>
    <w:lvl w:ilvl="1" w:tplc="182CB49E">
      <w:start w:val="1"/>
      <w:numFmt w:val="lowerLetter"/>
      <w:lvlText w:val="%2."/>
      <w:lvlJc w:val="left"/>
      <w:pPr>
        <w:ind w:left="2138" w:hanging="360"/>
      </w:pPr>
    </w:lvl>
    <w:lvl w:ilvl="2" w:tplc="C1405B30">
      <w:start w:val="1"/>
      <w:numFmt w:val="lowerRoman"/>
      <w:lvlText w:val="%3."/>
      <w:lvlJc w:val="right"/>
      <w:pPr>
        <w:ind w:left="2858" w:hanging="180"/>
      </w:pPr>
    </w:lvl>
    <w:lvl w:ilvl="3" w:tplc="BC9E718E">
      <w:start w:val="1"/>
      <w:numFmt w:val="decimal"/>
      <w:lvlText w:val="%4."/>
      <w:lvlJc w:val="left"/>
      <w:pPr>
        <w:ind w:left="3578" w:hanging="360"/>
      </w:pPr>
    </w:lvl>
    <w:lvl w:ilvl="4" w:tplc="AD1E0E56">
      <w:start w:val="1"/>
      <w:numFmt w:val="lowerLetter"/>
      <w:lvlText w:val="%5."/>
      <w:lvlJc w:val="left"/>
      <w:pPr>
        <w:ind w:left="4298" w:hanging="360"/>
      </w:pPr>
    </w:lvl>
    <w:lvl w:ilvl="5" w:tplc="56D0D36E">
      <w:start w:val="1"/>
      <w:numFmt w:val="lowerRoman"/>
      <w:lvlText w:val="%6."/>
      <w:lvlJc w:val="right"/>
      <w:pPr>
        <w:ind w:left="5018" w:hanging="180"/>
      </w:pPr>
    </w:lvl>
    <w:lvl w:ilvl="6" w:tplc="DD000B18">
      <w:start w:val="1"/>
      <w:numFmt w:val="decimal"/>
      <w:lvlText w:val="%7."/>
      <w:lvlJc w:val="left"/>
      <w:pPr>
        <w:ind w:left="5738" w:hanging="360"/>
      </w:pPr>
    </w:lvl>
    <w:lvl w:ilvl="7" w:tplc="FC3419B6">
      <w:start w:val="1"/>
      <w:numFmt w:val="lowerLetter"/>
      <w:lvlText w:val="%8."/>
      <w:lvlJc w:val="left"/>
      <w:pPr>
        <w:ind w:left="6458" w:hanging="360"/>
      </w:pPr>
    </w:lvl>
    <w:lvl w:ilvl="8" w:tplc="C7EC225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3098071E"/>
    <w:multiLevelType w:val="multilevel"/>
    <w:tmpl w:val="F968AA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B4166ED"/>
    <w:multiLevelType w:val="hybridMultilevel"/>
    <w:tmpl w:val="CB5644A8"/>
    <w:lvl w:ilvl="0" w:tplc="75747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BEC2EA">
      <w:start w:val="1"/>
      <w:numFmt w:val="lowerLetter"/>
      <w:lvlText w:val="%2."/>
      <w:lvlJc w:val="left"/>
      <w:pPr>
        <w:ind w:left="1789" w:hanging="360"/>
      </w:pPr>
    </w:lvl>
    <w:lvl w:ilvl="2" w:tplc="46F2204A">
      <w:start w:val="1"/>
      <w:numFmt w:val="lowerRoman"/>
      <w:lvlText w:val="%3."/>
      <w:lvlJc w:val="right"/>
      <w:pPr>
        <w:ind w:left="2509" w:hanging="180"/>
      </w:pPr>
    </w:lvl>
    <w:lvl w:ilvl="3" w:tplc="2BFA96D4">
      <w:start w:val="1"/>
      <w:numFmt w:val="decimal"/>
      <w:lvlText w:val="%4."/>
      <w:lvlJc w:val="left"/>
      <w:pPr>
        <w:ind w:left="3229" w:hanging="360"/>
      </w:pPr>
    </w:lvl>
    <w:lvl w:ilvl="4" w:tplc="EA763AF8">
      <w:start w:val="1"/>
      <w:numFmt w:val="lowerLetter"/>
      <w:lvlText w:val="%5."/>
      <w:lvlJc w:val="left"/>
      <w:pPr>
        <w:ind w:left="3949" w:hanging="360"/>
      </w:pPr>
    </w:lvl>
    <w:lvl w:ilvl="5" w:tplc="BD9CBD9A">
      <w:start w:val="1"/>
      <w:numFmt w:val="lowerRoman"/>
      <w:lvlText w:val="%6."/>
      <w:lvlJc w:val="right"/>
      <w:pPr>
        <w:ind w:left="4669" w:hanging="180"/>
      </w:pPr>
    </w:lvl>
    <w:lvl w:ilvl="6" w:tplc="52E6AD6E">
      <w:start w:val="1"/>
      <w:numFmt w:val="decimal"/>
      <w:lvlText w:val="%7."/>
      <w:lvlJc w:val="left"/>
      <w:pPr>
        <w:ind w:left="5389" w:hanging="360"/>
      </w:pPr>
    </w:lvl>
    <w:lvl w:ilvl="7" w:tplc="F7BC6B72">
      <w:start w:val="1"/>
      <w:numFmt w:val="lowerLetter"/>
      <w:lvlText w:val="%8."/>
      <w:lvlJc w:val="left"/>
      <w:pPr>
        <w:ind w:left="6109" w:hanging="360"/>
      </w:pPr>
    </w:lvl>
    <w:lvl w:ilvl="8" w:tplc="8B584DF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42C93"/>
    <w:multiLevelType w:val="multilevel"/>
    <w:tmpl w:val="742E6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46A327FB"/>
    <w:multiLevelType w:val="hybridMultilevel"/>
    <w:tmpl w:val="1D661E66"/>
    <w:lvl w:ilvl="0" w:tplc="88A480C4">
      <w:start w:val="1"/>
      <w:numFmt w:val="decimal"/>
      <w:lvlText w:val="%1)"/>
      <w:lvlJc w:val="left"/>
      <w:pPr>
        <w:ind w:left="1418" w:hanging="360"/>
      </w:pPr>
    </w:lvl>
    <w:lvl w:ilvl="1" w:tplc="4454DB16">
      <w:start w:val="1"/>
      <w:numFmt w:val="lowerLetter"/>
      <w:lvlText w:val="%2."/>
      <w:lvlJc w:val="left"/>
      <w:pPr>
        <w:ind w:left="2138" w:hanging="360"/>
      </w:pPr>
    </w:lvl>
    <w:lvl w:ilvl="2" w:tplc="9C16815A">
      <w:start w:val="1"/>
      <w:numFmt w:val="lowerRoman"/>
      <w:lvlText w:val="%3."/>
      <w:lvlJc w:val="right"/>
      <w:pPr>
        <w:ind w:left="2858" w:hanging="180"/>
      </w:pPr>
    </w:lvl>
    <w:lvl w:ilvl="3" w:tplc="F418F346">
      <w:start w:val="1"/>
      <w:numFmt w:val="decimal"/>
      <w:lvlText w:val="%4."/>
      <w:lvlJc w:val="left"/>
      <w:pPr>
        <w:ind w:left="3578" w:hanging="360"/>
      </w:pPr>
    </w:lvl>
    <w:lvl w:ilvl="4" w:tplc="5BFC3720">
      <w:start w:val="1"/>
      <w:numFmt w:val="lowerLetter"/>
      <w:lvlText w:val="%5."/>
      <w:lvlJc w:val="left"/>
      <w:pPr>
        <w:ind w:left="4298" w:hanging="360"/>
      </w:pPr>
    </w:lvl>
    <w:lvl w:ilvl="5" w:tplc="4998CA3C">
      <w:start w:val="1"/>
      <w:numFmt w:val="lowerRoman"/>
      <w:lvlText w:val="%6."/>
      <w:lvlJc w:val="right"/>
      <w:pPr>
        <w:ind w:left="5018" w:hanging="180"/>
      </w:pPr>
    </w:lvl>
    <w:lvl w:ilvl="6" w:tplc="0CF8010A">
      <w:start w:val="1"/>
      <w:numFmt w:val="decimal"/>
      <w:lvlText w:val="%7."/>
      <w:lvlJc w:val="left"/>
      <w:pPr>
        <w:ind w:left="5738" w:hanging="360"/>
      </w:pPr>
    </w:lvl>
    <w:lvl w:ilvl="7" w:tplc="3C82B334">
      <w:start w:val="1"/>
      <w:numFmt w:val="lowerLetter"/>
      <w:lvlText w:val="%8."/>
      <w:lvlJc w:val="left"/>
      <w:pPr>
        <w:ind w:left="6458" w:hanging="360"/>
      </w:pPr>
    </w:lvl>
    <w:lvl w:ilvl="8" w:tplc="84F4EB4C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47013BDE"/>
    <w:multiLevelType w:val="multilevel"/>
    <w:tmpl w:val="9C88A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C3F"/>
    <w:rsid w:val="008C5C3F"/>
    <w:rsid w:val="00A25ED5"/>
    <w:rsid w:val="00B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C5C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C5C3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C5C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C5C3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C5C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C5C3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C5C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C5C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C5C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C5C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5C3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C5C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5C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C5C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5C3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C5C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5C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C5C3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C5C3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C5C3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C5C3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5C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5C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5C3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C5C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C5C3F"/>
    <w:rPr>
      <w:i/>
    </w:rPr>
  </w:style>
  <w:style w:type="character" w:customStyle="1" w:styleId="HeaderChar">
    <w:name w:val="Header Char"/>
    <w:basedOn w:val="a0"/>
    <w:link w:val="Header"/>
    <w:uiPriority w:val="99"/>
    <w:rsid w:val="008C5C3F"/>
  </w:style>
  <w:style w:type="character" w:customStyle="1" w:styleId="FooterChar">
    <w:name w:val="Footer Char"/>
    <w:basedOn w:val="a0"/>
    <w:link w:val="Footer"/>
    <w:uiPriority w:val="99"/>
    <w:rsid w:val="008C5C3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C5C3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C5C3F"/>
  </w:style>
  <w:style w:type="table" w:styleId="a9">
    <w:name w:val="Table Grid"/>
    <w:basedOn w:val="a1"/>
    <w:uiPriority w:val="59"/>
    <w:rsid w:val="008C5C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C5C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5C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C5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5C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C5C3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8C5C3F"/>
    <w:rPr>
      <w:sz w:val="18"/>
    </w:rPr>
  </w:style>
  <w:style w:type="character" w:styleId="ac">
    <w:name w:val="footnote reference"/>
    <w:basedOn w:val="a0"/>
    <w:uiPriority w:val="99"/>
    <w:unhideWhenUsed/>
    <w:rsid w:val="008C5C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C5C3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8C5C3F"/>
    <w:rPr>
      <w:sz w:val="20"/>
    </w:rPr>
  </w:style>
  <w:style w:type="character" w:styleId="af">
    <w:name w:val="endnote reference"/>
    <w:basedOn w:val="a0"/>
    <w:uiPriority w:val="99"/>
    <w:semiHidden/>
    <w:unhideWhenUsed/>
    <w:rsid w:val="008C5C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C5C3F"/>
    <w:pPr>
      <w:spacing w:after="57"/>
    </w:pPr>
  </w:style>
  <w:style w:type="paragraph" w:styleId="21">
    <w:name w:val="toc 2"/>
    <w:basedOn w:val="a"/>
    <w:next w:val="a"/>
    <w:uiPriority w:val="39"/>
    <w:unhideWhenUsed/>
    <w:rsid w:val="008C5C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5C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5C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5C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5C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5C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5C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5C3F"/>
    <w:pPr>
      <w:spacing w:after="57"/>
      <w:ind w:left="2268"/>
    </w:pPr>
  </w:style>
  <w:style w:type="paragraph" w:styleId="af0">
    <w:name w:val="TOC Heading"/>
    <w:uiPriority w:val="39"/>
    <w:unhideWhenUsed/>
    <w:rsid w:val="008C5C3F"/>
  </w:style>
  <w:style w:type="paragraph" w:styleId="af1">
    <w:name w:val="table of figures"/>
    <w:basedOn w:val="a"/>
    <w:next w:val="a"/>
    <w:uiPriority w:val="99"/>
    <w:unhideWhenUsed/>
    <w:rsid w:val="008C5C3F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8C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8C5C3F"/>
  </w:style>
  <w:style w:type="paragraph" w:customStyle="1" w:styleId="Footer">
    <w:name w:val="Footer"/>
    <w:basedOn w:val="a"/>
    <w:link w:val="af3"/>
    <w:uiPriority w:val="99"/>
    <w:unhideWhenUsed/>
    <w:rsid w:val="008C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8C5C3F"/>
  </w:style>
  <w:style w:type="paragraph" w:styleId="af4">
    <w:name w:val="Balloon Text"/>
    <w:basedOn w:val="a"/>
    <w:link w:val="af5"/>
    <w:uiPriority w:val="99"/>
    <w:semiHidden/>
    <w:unhideWhenUsed/>
    <w:rsid w:val="008C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5C3F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8C5C3F"/>
    <w:rPr>
      <w:color w:val="0000FF"/>
      <w:u w:val="single"/>
    </w:rPr>
  </w:style>
  <w:style w:type="paragraph" w:styleId="af7">
    <w:name w:val="No Spacing"/>
    <w:uiPriority w:val="1"/>
    <w:qFormat/>
    <w:rsid w:val="008C5C3F"/>
    <w:pPr>
      <w:spacing w:after="0" w:line="240" w:lineRule="auto"/>
    </w:pPr>
  </w:style>
  <w:style w:type="paragraph" w:customStyle="1" w:styleId="ConsPlusNormal">
    <w:name w:val="ConsPlusNormal"/>
    <w:rsid w:val="008C5C3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C3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8C5C3F"/>
    <w:pPr>
      <w:ind w:left="720"/>
      <w:contextualSpacing/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C5C3F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E38F-7412-496D-8C99-D8D46C6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7797</Characters>
  <Application>Microsoft Office Word</Application>
  <DocSecurity>0</DocSecurity>
  <Lines>64</Lines>
  <Paragraphs>18</Paragraphs>
  <ScaleCrop>false</ScaleCrop>
  <Company>StartSoft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2025-03-25T08:58:00Z</dcterms:created>
  <dcterms:modified xsi:type="dcterms:W3CDTF">2025-03-25T08:58:00Z</dcterms:modified>
</cp:coreProperties>
</file>