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C130F">
        <w:rPr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5C130F" w:rsidRDefault="005C130F">
                  <w:pPr>
                    <w:pStyle w:val="Header"/>
                    <w:jc w:val="cent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5C130F" w:rsidRDefault="008064E0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5C130F" w:rsidRDefault="008064E0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Р Е Ш Е Н И Е</w:t>
                  </w:r>
                </w:p>
                <w:p w:rsidR="005C130F" w:rsidRDefault="005C130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C130F" w:rsidRDefault="005C130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C130F" w:rsidRDefault="005C130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5C130F" w:rsidRDefault="005C130F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8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5C130F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C130F" w:rsidRDefault="008064E0">
      <w:pPr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за исполнением единой теплоснабжающей организацией обязательств по 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решением Пермской городской Думы от 21.12.2021 № 315 «О муниципальном контроле за исполнением единой теплоснабжающей организацией обязательст</w:t>
      </w:r>
      <w:r>
        <w:rPr>
          <w:rFonts w:ascii="Times New Roman" w:hAnsi="Times New Roman" w:cs="Times New Roman"/>
          <w:b/>
          <w:bCs/>
          <w:sz w:val="28"/>
          <w:szCs w:val="28"/>
        </w:rPr>
        <w:t>в по строительству, реконструкции и (или) модернизации объектов теплоснабжения на территории города Перми»</w:t>
      </w:r>
    </w:p>
    <w:p w:rsidR="005C130F" w:rsidRDefault="008064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248-ФЗ 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города Перми</w:t>
      </w:r>
    </w:p>
    <w:p w:rsidR="005C130F" w:rsidRDefault="005C13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30F" w:rsidRDefault="008064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z w:val="28"/>
          <w:szCs w:val="28"/>
        </w:rPr>
        <w:t>р е ш и л а:</w:t>
      </w:r>
    </w:p>
    <w:p w:rsidR="005C130F" w:rsidRDefault="005C130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 (или) модернизации объектов теплоснабжения на террит</w:t>
      </w:r>
      <w:r>
        <w:rPr>
          <w:rFonts w:ascii="Times New Roman" w:hAnsi="Times New Roman" w:cs="Times New Roman"/>
          <w:sz w:val="28"/>
          <w:szCs w:val="28"/>
        </w:rPr>
        <w:t>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города Перми» </w:t>
      </w:r>
      <w:r>
        <w:rPr>
          <w:rFonts w:ascii="Times New Roman" w:hAnsi="Times New Roman" w:cs="Times New Roman"/>
          <w:sz w:val="28"/>
          <w:szCs w:val="28"/>
        </w:rPr>
        <w:br/>
        <w:t>(в редакции решений Пермской городской Думы от 22.02.2022 № 39, от 24.05.2022 № 124, от 22.08.2023 № 163, от 25.06.2024 № 111, от 25.06.2024 № 117), изменения: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1.11 признать утратившим силу;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дополнить разделом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ующего содержания:</w:t>
      </w:r>
    </w:p>
    <w:p w:rsidR="005C130F" w:rsidRDefault="008064E0">
      <w:pPr>
        <w:pStyle w:val="af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:rsidR="005C130F" w:rsidRDefault="005C13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категория риска):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риск;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умеренный риск;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низкий риск.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 Отнесение объекта Мун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иципального контроля к одной из предусмотренных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к категориям риска: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.2.1 к категории среднего риска –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категории риска, имеется не исполненное в срок предписание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 факту несоблюдения обязательных требований;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.2.2 к категории умеренного риска –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категории рис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ка, имеется исполненное предписание по факту несоблюдения обязательных требований;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.2.3 к категории низкого риска – отсутствие оснований, предусмотренных для среднего и умеренного риска.</w:t>
      </w:r>
    </w:p>
    <w:p w:rsidR="005C130F" w:rsidRDefault="008064E0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.3 В случае, если объект контроля не отнесен Органом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определенной категории риска, он считается отнесенным к категории низкого риска.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.4 Орган контроля при сборе, обработке, анализе и учете сведений об объектах 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униципального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.5</w:t>
      </w: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Орган контроля осущ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ествляет категорирование объектов Муниципального контроля в порядке, определенном статьей 24 Федерального закона о контроле. Решение об отнесении объектов Муниципального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к категориям рисков принимается путем подписания руководителем Органа контро</w:t>
      </w:r>
      <w:r>
        <w:rPr>
          <w:rFonts w:ascii="Times New Roman" w:hAnsi="Times New Roman" w:cs="Times New Roman"/>
          <w:sz w:val="28"/>
          <w:szCs w:val="28"/>
          <w:highlight w:val="white"/>
        </w:rPr>
        <w:t>ля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используемых им) иных объектов Муниципального контроля в случае их соответствия критериям риска для отнесения к иной категории риска.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.6 Плановые контрольные мероприятия при осуществлении Муниципального контроля не проводятся. 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Обязательные профилак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тические визиты в отношении объектов контроля в зависимости от присвоенной категории риска проводятся со следующей периодичностью: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отношении объектов Муниципального контроля, отнесенных к категории среднего и умеренного риска, периодичность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обязательных профилактических визитов определяется Правительством Российской Федерации;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отношении объектов контроля, отнесенных к категории низкого риска, обязательные профилактические визиты не проводятся.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 пункт 2.7 дополнить словами «,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сроки дл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 в пункте 2.21: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1.4.1 подпункт 2.21.1 изложить в редакции:</w:t>
      </w:r>
    </w:p>
    <w:p w:rsidR="005C130F" w:rsidRDefault="008064E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«2.21.1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рофилактический визит проводится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В решении о проведении профилактичес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кого визита Органом контроля указывается форма его проведения. </w:t>
      </w:r>
    </w:p>
    <w:p w:rsidR="005C130F" w:rsidRDefault="008064E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/>
        <w:t>к принадлежащим ему объектам  контроля, а Инспектор осущес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твляет ознакомление с объектом контроля и проводит оценку уровня соблюдения контролируемым лицом обязательных требований»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1.4.2 подпункт 2.21.2 изложить в редакции: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«2.21.2 п</w:t>
      </w:r>
      <w:r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рофилактический визит проводится по инициативе Органа контроля (обязательный профилактический визит) или по инициативе контролируемого лица.»;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4.3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подпункты 2.21.3-2.21.14 признать утратившими силу.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дополнить пунктами 2.22, 2.23 следующего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«2.22 Обязательный профилактический визит проводится в соответствии со статьей 52.1 Федерального закона о контроле.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2.23 Профилактический визит по инициативе контролируемого лица проводится в соответствии со статьей 52.2 Федерального закона о контроле.».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пункте 3.4: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1.6.1 после слов «пунктами 1, 3, 4, 5» дополнить цифрами «, 7, 9»;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1.6.2 слова «, после согласования с органами прокуратуры» исключить;</w:t>
      </w:r>
    </w:p>
    <w:p w:rsidR="005C130F" w:rsidRDefault="008064E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1.6.3 в подпункте 3.4.1 слова «по основанию, предусмотренному пунктом 1» заменить словами «по основаниям, предусмотренным пунктами 1,7,9»;</w:t>
      </w:r>
    </w:p>
    <w:p w:rsidR="005C130F" w:rsidRDefault="008064E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1.6.4 в подпункте 3.4.2 второе предложение исключить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1.7 пункт 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изложить в редакции: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Сбор, обработка, анал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Муниципального контроля в целях их отнесения к категориям риска либо определения 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дикаторов риска нарушения обязательных требований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на контролируемых лиц не могут возлагаться дополнительные обязанности, не предусмотренные федеральными законами.»;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1.8 пункт 3.7 дополнить абзацем следующего содержания: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 также с использованием мобильного приложения «Инспектор».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шении о проведении инспекционного визита Органом контроля указывается форма его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1.9 пункт 3.10 дополнить абзацем следующего содержания: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«Рейдовый осмотр может быть проведен с использованием средств дистанционного взаимодействия, в том числе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осредством видео-конференц-связи, а также с использованием мобильного приложения «Инспектор».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br/>
        <w:t>В решении о проведении инспекционного визита Органом контроля указывается форма его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1.10 пункт 3.16 дополнить абзацем следующего содержания: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«Выездн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ая проверка может быть проведена с использованием средств дистанционного взаимодействия, в том числе посредством видео-конференц-связи, а также с использованием мобильного приложения «Инспектор».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br/>
        <w:t>В решении о проведении инспекционного визита Органом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я указывается форма его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1.11 в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3.23 слово «осуществляться» заменить словами «совершаться следующие контрольные действия»;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1.12 пункт 3.24 признать утратившим силу.</w:t>
      </w:r>
    </w:p>
    <w:p w:rsidR="005C130F" w:rsidRDefault="008064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 Настоящее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со дня его официального обнародова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130F" w:rsidRDefault="008064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Обнародовать настоящее решение посредством официального опубликования в пе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чатном средстве массовой информации «Официальный бюллетень органов местного самоуправления муниципального образования город Пермь», а </w:t>
      </w:r>
      <w:bookmarkStart w:id="2" w:name="undefined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также в сетевом изд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ании «Официальный сайт муниципального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C130F" w:rsidRDefault="00806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5C130F" w:rsidRDefault="005C130F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130F" w:rsidRDefault="005C130F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130F" w:rsidRDefault="005C130F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130F" w:rsidRDefault="008064E0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</w:t>
      </w:r>
    </w:p>
    <w:p w:rsidR="005C130F" w:rsidRDefault="008064E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Д.В.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Малютин</w:t>
      </w:r>
    </w:p>
    <w:p w:rsidR="005C130F" w:rsidRDefault="005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C130F" w:rsidRDefault="005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C130F" w:rsidRDefault="005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C130F" w:rsidRDefault="008064E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Перми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Э.О. Соснин</w:t>
      </w:r>
    </w:p>
    <w:p w:rsidR="005C130F" w:rsidRDefault="005C130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130F" w:rsidSect="005C130F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E0" w:rsidRDefault="008064E0">
      <w:pPr>
        <w:spacing w:after="0" w:line="240" w:lineRule="auto"/>
      </w:pPr>
      <w:r>
        <w:separator/>
      </w:r>
    </w:p>
  </w:endnote>
  <w:endnote w:type="continuationSeparator" w:id="0">
    <w:p w:rsidR="008064E0" w:rsidRDefault="0080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E0" w:rsidRDefault="008064E0">
      <w:pPr>
        <w:spacing w:after="0" w:line="240" w:lineRule="auto"/>
      </w:pPr>
      <w:r>
        <w:separator/>
      </w:r>
    </w:p>
  </w:footnote>
  <w:footnote w:type="continuationSeparator" w:id="0">
    <w:p w:rsidR="008064E0" w:rsidRDefault="0080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5C130F" w:rsidRDefault="005C130F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064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2A4E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130F" w:rsidRDefault="005C130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B09"/>
    <w:multiLevelType w:val="multilevel"/>
    <w:tmpl w:val="ACB2CB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99E7B7E"/>
    <w:multiLevelType w:val="hybridMultilevel"/>
    <w:tmpl w:val="E618ABB6"/>
    <w:lvl w:ilvl="0" w:tplc="191231E8">
      <w:start w:val="1"/>
      <w:numFmt w:val="decimal"/>
      <w:lvlText w:val="%1)"/>
      <w:lvlJc w:val="left"/>
      <w:pPr>
        <w:ind w:left="1418" w:hanging="360"/>
      </w:pPr>
    </w:lvl>
    <w:lvl w:ilvl="1" w:tplc="0AC8E8C4">
      <w:start w:val="1"/>
      <w:numFmt w:val="lowerLetter"/>
      <w:lvlText w:val="%2."/>
      <w:lvlJc w:val="left"/>
      <w:pPr>
        <w:ind w:left="2138" w:hanging="360"/>
      </w:pPr>
    </w:lvl>
    <w:lvl w:ilvl="2" w:tplc="3662AA16">
      <w:start w:val="1"/>
      <w:numFmt w:val="lowerRoman"/>
      <w:lvlText w:val="%3."/>
      <w:lvlJc w:val="right"/>
      <w:pPr>
        <w:ind w:left="2858" w:hanging="180"/>
      </w:pPr>
    </w:lvl>
    <w:lvl w:ilvl="3" w:tplc="8D0EBA8C">
      <w:start w:val="1"/>
      <w:numFmt w:val="decimal"/>
      <w:lvlText w:val="%4."/>
      <w:lvlJc w:val="left"/>
      <w:pPr>
        <w:ind w:left="3578" w:hanging="360"/>
      </w:pPr>
    </w:lvl>
    <w:lvl w:ilvl="4" w:tplc="38B25D2C">
      <w:start w:val="1"/>
      <w:numFmt w:val="lowerLetter"/>
      <w:lvlText w:val="%5."/>
      <w:lvlJc w:val="left"/>
      <w:pPr>
        <w:ind w:left="4298" w:hanging="360"/>
      </w:pPr>
    </w:lvl>
    <w:lvl w:ilvl="5" w:tplc="E110D8AA">
      <w:start w:val="1"/>
      <w:numFmt w:val="lowerRoman"/>
      <w:lvlText w:val="%6."/>
      <w:lvlJc w:val="right"/>
      <w:pPr>
        <w:ind w:left="5018" w:hanging="180"/>
      </w:pPr>
    </w:lvl>
    <w:lvl w:ilvl="6" w:tplc="6E009096">
      <w:start w:val="1"/>
      <w:numFmt w:val="decimal"/>
      <w:lvlText w:val="%7."/>
      <w:lvlJc w:val="left"/>
      <w:pPr>
        <w:ind w:left="5738" w:hanging="360"/>
      </w:pPr>
    </w:lvl>
    <w:lvl w:ilvl="7" w:tplc="2FE83754">
      <w:start w:val="1"/>
      <w:numFmt w:val="lowerLetter"/>
      <w:lvlText w:val="%8."/>
      <w:lvlJc w:val="left"/>
      <w:pPr>
        <w:ind w:left="6458" w:hanging="360"/>
      </w:pPr>
    </w:lvl>
    <w:lvl w:ilvl="8" w:tplc="E7927724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1C82537D"/>
    <w:multiLevelType w:val="multilevel"/>
    <w:tmpl w:val="2E503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F391442"/>
    <w:multiLevelType w:val="multilevel"/>
    <w:tmpl w:val="2ADECA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5CC4C35"/>
    <w:multiLevelType w:val="hybridMultilevel"/>
    <w:tmpl w:val="0D18CA4C"/>
    <w:lvl w:ilvl="0" w:tplc="7938FC66">
      <w:start w:val="1"/>
      <w:numFmt w:val="decimal"/>
      <w:lvlText w:val="%1)"/>
      <w:lvlJc w:val="left"/>
      <w:pPr>
        <w:ind w:left="1418" w:hanging="360"/>
      </w:pPr>
    </w:lvl>
    <w:lvl w:ilvl="1" w:tplc="6EAACDA4">
      <w:start w:val="1"/>
      <w:numFmt w:val="lowerLetter"/>
      <w:lvlText w:val="%2."/>
      <w:lvlJc w:val="left"/>
      <w:pPr>
        <w:ind w:left="2138" w:hanging="360"/>
      </w:pPr>
    </w:lvl>
    <w:lvl w:ilvl="2" w:tplc="C64E3E96">
      <w:start w:val="1"/>
      <w:numFmt w:val="lowerRoman"/>
      <w:lvlText w:val="%3."/>
      <w:lvlJc w:val="right"/>
      <w:pPr>
        <w:ind w:left="2858" w:hanging="180"/>
      </w:pPr>
    </w:lvl>
    <w:lvl w:ilvl="3" w:tplc="727EEE92">
      <w:start w:val="1"/>
      <w:numFmt w:val="decimal"/>
      <w:lvlText w:val="%4."/>
      <w:lvlJc w:val="left"/>
      <w:pPr>
        <w:ind w:left="3578" w:hanging="360"/>
      </w:pPr>
    </w:lvl>
    <w:lvl w:ilvl="4" w:tplc="1A080E74">
      <w:start w:val="1"/>
      <w:numFmt w:val="lowerLetter"/>
      <w:lvlText w:val="%5."/>
      <w:lvlJc w:val="left"/>
      <w:pPr>
        <w:ind w:left="4298" w:hanging="360"/>
      </w:pPr>
    </w:lvl>
    <w:lvl w:ilvl="5" w:tplc="D32E3CC4">
      <w:start w:val="1"/>
      <w:numFmt w:val="lowerRoman"/>
      <w:lvlText w:val="%6."/>
      <w:lvlJc w:val="right"/>
      <w:pPr>
        <w:ind w:left="5018" w:hanging="180"/>
      </w:pPr>
    </w:lvl>
    <w:lvl w:ilvl="6" w:tplc="850E0750">
      <w:start w:val="1"/>
      <w:numFmt w:val="decimal"/>
      <w:lvlText w:val="%7."/>
      <w:lvlJc w:val="left"/>
      <w:pPr>
        <w:ind w:left="5738" w:hanging="360"/>
      </w:pPr>
    </w:lvl>
    <w:lvl w:ilvl="7" w:tplc="0BE83110">
      <w:start w:val="1"/>
      <w:numFmt w:val="lowerLetter"/>
      <w:lvlText w:val="%8."/>
      <w:lvlJc w:val="left"/>
      <w:pPr>
        <w:ind w:left="6458" w:hanging="360"/>
      </w:pPr>
    </w:lvl>
    <w:lvl w:ilvl="8" w:tplc="9764658C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322D1B2B"/>
    <w:multiLevelType w:val="hybridMultilevel"/>
    <w:tmpl w:val="F26E03CA"/>
    <w:lvl w:ilvl="0" w:tplc="DB806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966DA6">
      <w:start w:val="1"/>
      <w:numFmt w:val="lowerLetter"/>
      <w:lvlText w:val="%2."/>
      <w:lvlJc w:val="left"/>
      <w:pPr>
        <w:ind w:left="1789" w:hanging="360"/>
      </w:pPr>
    </w:lvl>
    <w:lvl w:ilvl="2" w:tplc="E1F63EE6">
      <w:start w:val="1"/>
      <w:numFmt w:val="lowerRoman"/>
      <w:lvlText w:val="%3."/>
      <w:lvlJc w:val="right"/>
      <w:pPr>
        <w:ind w:left="2509" w:hanging="180"/>
      </w:pPr>
    </w:lvl>
    <w:lvl w:ilvl="3" w:tplc="90B4DBA8">
      <w:start w:val="1"/>
      <w:numFmt w:val="decimal"/>
      <w:lvlText w:val="%4."/>
      <w:lvlJc w:val="left"/>
      <w:pPr>
        <w:ind w:left="3229" w:hanging="360"/>
      </w:pPr>
    </w:lvl>
    <w:lvl w:ilvl="4" w:tplc="603E95DE">
      <w:start w:val="1"/>
      <w:numFmt w:val="lowerLetter"/>
      <w:lvlText w:val="%5."/>
      <w:lvlJc w:val="left"/>
      <w:pPr>
        <w:ind w:left="3949" w:hanging="360"/>
      </w:pPr>
    </w:lvl>
    <w:lvl w:ilvl="5" w:tplc="0DDCF196">
      <w:start w:val="1"/>
      <w:numFmt w:val="lowerRoman"/>
      <w:lvlText w:val="%6."/>
      <w:lvlJc w:val="right"/>
      <w:pPr>
        <w:ind w:left="4669" w:hanging="180"/>
      </w:pPr>
    </w:lvl>
    <w:lvl w:ilvl="6" w:tplc="CC7A0236">
      <w:start w:val="1"/>
      <w:numFmt w:val="decimal"/>
      <w:lvlText w:val="%7."/>
      <w:lvlJc w:val="left"/>
      <w:pPr>
        <w:ind w:left="5389" w:hanging="360"/>
      </w:pPr>
    </w:lvl>
    <w:lvl w:ilvl="7" w:tplc="3B86E7C8">
      <w:start w:val="1"/>
      <w:numFmt w:val="lowerLetter"/>
      <w:lvlText w:val="%8."/>
      <w:lvlJc w:val="left"/>
      <w:pPr>
        <w:ind w:left="6109" w:hanging="360"/>
      </w:pPr>
    </w:lvl>
    <w:lvl w:ilvl="8" w:tplc="704C872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30F"/>
    <w:rsid w:val="00412A4E"/>
    <w:rsid w:val="005C130F"/>
    <w:rsid w:val="0080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C13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C13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C13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C13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C13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C13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C13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C13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5C13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5C130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C130F"/>
    <w:rPr>
      <w:sz w:val="24"/>
      <w:szCs w:val="24"/>
    </w:rPr>
  </w:style>
  <w:style w:type="character" w:customStyle="1" w:styleId="QuoteChar">
    <w:name w:val="Quote Char"/>
    <w:link w:val="2"/>
    <w:uiPriority w:val="29"/>
    <w:rsid w:val="005C130F"/>
    <w:rPr>
      <w:i/>
    </w:rPr>
  </w:style>
  <w:style w:type="character" w:customStyle="1" w:styleId="IntenseQuoteChar">
    <w:name w:val="Intense Quote Char"/>
    <w:link w:val="a5"/>
    <w:uiPriority w:val="30"/>
    <w:rsid w:val="005C130F"/>
    <w:rPr>
      <w:i/>
    </w:rPr>
  </w:style>
  <w:style w:type="character" w:customStyle="1" w:styleId="FootnoteTextChar">
    <w:name w:val="Footnote Text Char"/>
    <w:link w:val="a6"/>
    <w:uiPriority w:val="99"/>
    <w:rsid w:val="005C130F"/>
    <w:rPr>
      <w:sz w:val="18"/>
    </w:rPr>
  </w:style>
  <w:style w:type="character" w:customStyle="1" w:styleId="EndnoteTextChar">
    <w:name w:val="Endnote Text Char"/>
    <w:link w:val="a7"/>
    <w:uiPriority w:val="99"/>
    <w:rsid w:val="005C130F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5C13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5C130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C13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C13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C13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C130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C13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C130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C13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5C130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5C130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5C130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5C130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5C130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5C130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5C13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5C130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5C130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5C130F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5C130F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5C130F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5C130F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5C130F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5C130F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5C13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5C130F"/>
    <w:rPr>
      <w:i/>
    </w:rPr>
  </w:style>
  <w:style w:type="character" w:customStyle="1" w:styleId="HeaderChar">
    <w:name w:val="Header Char"/>
    <w:basedOn w:val="a0"/>
    <w:uiPriority w:val="99"/>
    <w:rsid w:val="005C130F"/>
  </w:style>
  <w:style w:type="character" w:customStyle="1" w:styleId="FooterChar">
    <w:name w:val="Footer Char"/>
    <w:basedOn w:val="a0"/>
    <w:uiPriority w:val="99"/>
    <w:rsid w:val="005C13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C130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C130F"/>
  </w:style>
  <w:style w:type="table" w:styleId="ab">
    <w:name w:val="Table Grid"/>
    <w:basedOn w:val="a1"/>
    <w:uiPriority w:val="59"/>
    <w:rsid w:val="005C13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C13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C13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C1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C130F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C13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5C130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5C130F"/>
    <w:rPr>
      <w:sz w:val="18"/>
    </w:rPr>
  </w:style>
  <w:style w:type="character" w:styleId="ad">
    <w:name w:val="footnote reference"/>
    <w:basedOn w:val="a0"/>
    <w:uiPriority w:val="99"/>
    <w:unhideWhenUsed/>
    <w:rsid w:val="005C130F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5C130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5C130F"/>
    <w:rPr>
      <w:sz w:val="20"/>
    </w:rPr>
  </w:style>
  <w:style w:type="character" w:styleId="af">
    <w:name w:val="endnote reference"/>
    <w:basedOn w:val="a0"/>
    <w:uiPriority w:val="99"/>
    <w:semiHidden/>
    <w:unhideWhenUsed/>
    <w:rsid w:val="005C130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C130F"/>
    <w:pPr>
      <w:spacing w:after="57"/>
    </w:pPr>
  </w:style>
  <w:style w:type="paragraph" w:styleId="22">
    <w:name w:val="toc 2"/>
    <w:basedOn w:val="a"/>
    <w:next w:val="a"/>
    <w:uiPriority w:val="39"/>
    <w:unhideWhenUsed/>
    <w:rsid w:val="005C130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C130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C130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C130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C130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C130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C130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C130F"/>
    <w:pPr>
      <w:spacing w:after="57"/>
      <w:ind w:left="2268"/>
    </w:pPr>
  </w:style>
  <w:style w:type="paragraph" w:styleId="af0">
    <w:name w:val="TOC Heading"/>
    <w:uiPriority w:val="39"/>
    <w:unhideWhenUsed/>
    <w:rsid w:val="005C130F"/>
  </w:style>
  <w:style w:type="paragraph" w:styleId="af1">
    <w:name w:val="table of figures"/>
    <w:basedOn w:val="a"/>
    <w:next w:val="a"/>
    <w:uiPriority w:val="99"/>
    <w:unhideWhenUsed/>
    <w:rsid w:val="005C130F"/>
    <w:pPr>
      <w:spacing w:after="0"/>
    </w:pPr>
  </w:style>
  <w:style w:type="paragraph" w:customStyle="1" w:styleId="Header">
    <w:name w:val="Header"/>
    <w:basedOn w:val="a"/>
    <w:link w:val="af2"/>
    <w:uiPriority w:val="99"/>
    <w:unhideWhenUsed/>
    <w:rsid w:val="005C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5C130F"/>
  </w:style>
  <w:style w:type="paragraph" w:customStyle="1" w:styleId="Footer">
    <w:name w:val="Footer"/>
    <w:basedOn w:val="a"/>
    <w:link w:val="af3"/>
    <w:uiPriority w:val="99"/>
    <w:unhideWhenUsed/>
    <w:rsid w:val="005C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5C130F"/>
  </w:style>
  <w:style w:type="paragraph" w:styleId="af4">
    <w:name w:val="Balloon Text"/>
    <w:basedOn w:val="a"/>
    <w:link w:val="af5"/>
    <w:uiPriority w:val="99"/>
    <w:semiHidden/>
    <w:unhideWhenUsed/>
    <w:rsid w:val="005C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130F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5C130F"/>
    <w:rPr>
      <w:color w:val="0000FF"/>
      <w:u w:val="single"/>
    </w:rPr>
  </w:style>
  <w:style w:type="paragraph" w:styleId="af7">
    <w:name w:val="No Spacing"/>
    <w:uiPriority w:val="1"/>
    <w:qFormat/>
    <w:rsid w:val="005C130F"/>
    <w:pPr>
      <w:spacing w:after="0" w:line="240" w:lineRule="auto"/>
    </w:pPr>
  </w:style>
  <w:style w:type="paragraph" w:customStyle="1" w:styleId="ConsPlusNormal">
    <w:name w:val="ConsPlusNormal"/>
    <w:rsid w:val="005C130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130F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5C130F"/>
    <w:pPr>
      <w:ind w:left="720"/>
      <w:contextualSpacing/>
    </w:p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C130F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355B-208E-4CDE-9E88-5A4180A7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8023</Characters>
  <Application>Microsoft Office Word</Application>
  <DocSecurity>0</DocSecurity>
  <Lines>66</Lines>
  <Paragraphs>18</Paragraphs>
  <ScaleCrop>false</ScaleCrop>
  <Company>StartSoft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2025-03-28T10:02:00Z</dcterms:created>
  <dcterms:modified xsi:type="dcterms:W3CDTF">2025-03-28T10:02:00Z</dcterms:modified>
</cp:coreProperties>
</file>