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60" w:rsidRDefault="00F96D60">
      <w:pPr>
        <w:rPr>
          <w:sz w:val="28"/>
          <w:szCs w:val="28"/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F96D60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96D60" w:rsidRDefault="00F96D60">
            <w:pPr>
              <w:ind w:firstLine="540"/>
              <w:jc w:val="both"/>
              <w:rPr>
                <w:b/>
                <w:sz w:val="28"/>
                <w:szCs w:val="28"/>
              </w:rPr>
            </w:pPr>
          </w:p>
          <w:p w:rsidR="00F96D60" w:rsidRDefault="000D5A47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ПРИМЕРНЫЙ ПЕРЕЧЕНЬ ВОПРОСОВ</w:t>
            </w:r>
          </w:p>
          <w:p w:rsidR="00F96D60" w:rsidRDefault="000D5A47">
            <w:pPr>
              <w:spacing w:line="283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 проекту постановления администрации города Перми   </w:t>
            </w:r>
          </w:p>
          <w:p w:rsidR="00F96D60" w:rsidRDefault="000D5A47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О внесении изменений в Административный регламент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объектов», утвержденный постановлением ад</w:t>
            </w:r>
            <w:r>
              <w:rPr>
                <w:b/>
                <w:sz w:val="28"/>
                <w:szCs w:val="28"/>
              </w:rPr>
              <w:t xml:space="preserve">министрации города Перми от 01.12.2021 № 1093 «Об утверждении Административного регламента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размещение </w:t>
            </w:r>
            <w:r>
              <w:rPr>
                <w:b/>
                <w:sz w:val="28"/>
                <w:szCs w:val="28"/>
              </w:rPr>
              <w:t>объектов» и признании утратившими силу некоторых постановлений</w:t>
            </w:r>
            <w:proofErr w:type="gramEnd"/>
            <w:r>
              <w:rPr>
                <w:b/>
                <w:sz w:val="28"/>
                <w:szCs w:val="28"/>
              </w:rPr>
              <w:t xml:space="preserve"> администрации города Перми в сфере земельных отношений»  </w:t>
            </w:r>
          </w:p>
          <w:p w:rsidR="00F96D60" w:rsidRDefault="000D5A47">
            <w:pPr>
              <w:spacing w:line="283" w:lineRule="exact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(далее </w:t>
            </w:r>
            <w:proofErr w:type="gramStart"/>
            <w:r>
              <w:rPr>
                <w:b/>
                <w:sz w:val="28"/>
                <w:szCs w:val="28"/>
              </w:rPr>
              <w:t>–п</w:t>
            </w:r>
            <w:proofErr w:type="gramEnd"/>
            <w:r>
              <w:rPr>
                <w:b/>
                <w:sz w:val="28"/>
                <w:szCs w:val="28"/>
              </w:rPr>
              <w:t>роект постановления)</w:t>
            </w:r>
          </w:p>
          <w:p w:rsidR="00F96D60" w:rsidRDefault="00F96D60">
            <w:pPr>
              <w:spacing w:line="283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F96D60" w:rsidRDefault="000D5A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Пожалуйста, заполните и направьте данную форму по адресу электронной почты asklishina@perm.permkrai.ru н</w:t>
            </w:r>
            <w:r>
              <w:rPr>
                <w:sz w:val="28"/>
                <w:szCs w:val="28"/>
              </w:rPr>
              <w:t xml:space="preserve">е позднее 7 календарных дней со дня размещения </w:t>
            </w:r>
            <w:r w:rsidR="009669AB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 xml:space="preserve">на официальном сайте администрации города Перми.  </w:t>
            </w:r>
          </w:p>
          <w:p w:rsidR="00F96D60" w:rsidRDefault="000D5A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нормативного правового акта не будет иметь возможности проанализировать предложения (замечания), направленные ему после указанного срока, а также </w:t>
            </w:r>
            <w:r>
              <w:rPr>
                <w:sz w:val="28"/>
                <w:szCs w:val="28"/>
              </w:rPr>
              <w:t xml:space="preserve">направленные не в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соответствии с настоящей формой. </w:t>
            </w:r>
          </w:p>
          <w:p w:rsidR="00F96D60" w:rsidRDefault="00F96D6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F96D60" w:rsidRDefault="00F96D6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Департамент земельных отношений администрации города Перми</w:t>
      </w:r>
    </w:p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Сфера деятельности Орган местного самоуправления</w:t>
      </w:r>
    </w:p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Ф.И.О. контактного лица Клишина Анна Сергеевна</w:t>
      </w:r>
    </w:p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Номер контактного телефона 8 (342) 212-39-77</w:t>
      </w:r>
    </w:p>
    <w:p w:rsidR="00F96D60" w:rsidRDefault="000D5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Адрес электронной почты  asklishina@perm.permkrai.ru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F96D60">
        <w:trPr>
          <w:trHeight w:val="397"/>
        </w:trPr>
        <w:tc>
          <w:tcPr>
            <w:tcW w:w="1020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 xml:space="preserve">решение какой проблемы, на Ваш взгляд, направлено предлагаемое регулирование? Актуальна ли данная проблема сегодня?  </w:t>
            </w:r>
          </w:p>
        </w:tc>
      </w:tr>
      <w:tr w:rsidR="00F96D60">
        <w:trPr>
          <w:trHeight w:val="23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F96D60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</w:t>
            </w:r>
            <w:r>
              <w:rPr>
                <w:sz w:val="28"/>
                <w:szCs w:val="28"/>
              </w:rPr>
              <w:t>?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F96D60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rPr>
                <w:sz w:val="28"/>
                <w:szCs w:val="28"/>
                <w:highlight w:val="yellow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Вашему</w:t>
            </w:r>
            <w:r>
              <w:rPr>
                <w:sz w:val="28"/>
                <w:szCs w:val="28"/>
              </w:rPr>
              <w:t xml:space="preserve"> мнению, </w:t>
            </w:r>
            <w:r>
              <w:rPr>
                <w:sz w:val="28"/>
                <w:szCs w:val="28"/>
              </w:rPr>
              <w:lastRenderedPageBreak/>
              <w:t xml:space="preserve">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F96D60">
        <w:trPr>
          <w:trHeight w:val="29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F96D60">
        <w:trPr>
          <w:trHeight w:val="272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F96D60">
        <w:trPr>
          <w:trHeight w:val="27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исполнительной власти, насколько точно и недвусмысленно про</w:t>
            </w:r>
            <w:r>
              <w:rPr>
                <w:sz w:val="28"/>
                <w:szCs w:val="28"/>
              </w:rPr>
              <w:t>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F96D60">
        <w:trPr>
          <w:trHeight w:val="276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96D60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F96D60" w:rsidRDefault="000D5A4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</w:t>
            </w:r>
            <w:r>
              <w:rPr>
                <w:sz w:val="28"/>
                <w:szCs w:val="28"/>
              </w:rPr>
              <w:t>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F96D60" w:rsidRDefault="000D5A47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F96D60" w:rsidRDefault="000D5A4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или, наоборот, ог</w:t>
            </w:r>
            <w:r>
              <w:rPr>
                <w:sz w:val="28"/>
                <w:szCs w:val="28"/>
              </w:rPr>
              <w:t>раничивает действия субъектов предпринимательской и инвестиционной деятельности;</w:t>
            </w:r>
          </w:p>
          <w:p w:rsidR="00F96D60" w:rsidRDefault="000D5A4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</w:t>
            </w:r>
            <w:r>
              <w:rPr>
                <w:sz w:val="28"/>
                <w:szCs w:val="28"/>
              </w:rPr>
              <w:t>ложений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F96D60" w:rsidRDefault="000D5A4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регулированием инфраструктуры, организационных или технических условий, технологий), вводит ли неоптимальный режим </w:t>
            </w:r>
            <w:r>
              <w:rPr>
                <w:sz w:val="28"/>
                <w:szCs w:val="28"/>
              </w:rPr>
              <w:t>осуществления операционной деятельности;</w:t>
            </w:r>
          </w:p>
          <w:p w:rsidR="00F96D60" w:rsidRDefault="000D5A47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F96D60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rPr>
                <w:sz w:val="28"/>
                <w:szCs w:val="28"/>
                <w:highlight w:val="yellow"/>
              </w:rPr>
            </w:pPr>
          </w:p>
        </w:tc>
      </w:tr>
      <w:tr w:rsidR="00F96D60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</w:t>
            </w:r>
            <w:r>
              <w:rPr>
                <w:sz w:val="28"/>
                <w:szCs w:val="28"/>
              </w:rPr>
              <w:lastRenderedPageBreak/>
              <w:t>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</w:t>
            </w:r>
            <w:r>
              <w:rPr>
                <w:sz w:val="28"/>
                <w:szCs w:val="28"/>
              </w:rPr>
              <w:t>тей для субъектов предпринимательской и иной деятельности?  Приведите конкретные примеры.</w:t>
            </w:r>
          </w:p>
        </w:tc>
      </w:tr>
      <w:tr w:rsidR="00F96D60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</w:t>
            </w:r>
            <w:r>
              <w:rPr>
                <w:sz w:val="28"/>
                <w:szCs w:val="28"/>
              </w:rPr>
              <w:t xml:space="preserve">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необходимости соблюдения административных процедур, предусмотренных </w:t>
            </w:r>
            <w:r>
              <w:rPr>
                <w:sz w:val="28"/>
                <w:szCs w:val="28"/>
              </w:rPr>
              <w:t>проектом предлагаемого регулирования. Какие из указанных издержек Вы считаете избыточными/бесполезными и почему? Если возможно, оцените затраты по выполнению вновь вводимых требований количественно (в часах рабочего времени, в денежном эквиваленте и проч.)</w:t>
            </w:r>
            <w:r>
              <w:rPr>
                <w:sz w:val="28"/>
                <w:szCs w:val="28"/>
              </w:rPr>
              <w:t>.</w:t>
            </w:r>
          </w:p>
        </w:tc>
      </w:tr>
      <w:tr w:rsidR="00F96D60">
        <w:trPr>
          <w:trHeight w:val="228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могут возникнуть про</w:t>
            </w:r>
            <w:r>
              <w:rPr>
                <w:sz w:val="28"/>
                <w:szCs w:val="28"/>
              </w:rPr>
              <w:t xml:space="preserve">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</w:t>
            </w:r>
            <w:r>
              <w:rPr>
                <w:sz w:val="28"/>
                <w:szCs w:val="28"/>
              </w:rPr>
              <w:t>наковых условиях после его введения? Предусмотрен ли в нем механизм защиты прав хозяйствующих субъектов? Существуют ли, на Ваш взгляд,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F96D60">
        <w:trPr>
          <w:trHeight w:val="244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F96D60" w:rsidRDefault="00F96D60">
            <w:pPr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F96D60">
        <w:trPr>
          <w:trHeight w:val="244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rPr>
                <w:sz w:val="28"/>
                <w:szCs w:val="28"/>
                <w:highlight w:val="yellow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F96D60">
        <w:trPr>
          <w:trHeight w:val="260"/>
        </w:trPr>
        <w:tc>
          <w:tcPr>
            <w:tcW w:w="1020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F96D60" w:rsidRDefault="00F96D60">
            <w:pPr>
              <w:ind w:left="720"/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F96D60">
        <w:trPr>
          <w:trHeight w:val="276"/>
        </w:trPr>
        <w:tc>
          <w:tcPr>
            <w:tcW w:w="10206" w:type="dxa"/>
            <w:tcBorders>
              <w:bottom w:val="single" w:sz="4" w:space="0" w:color="000000"/>
            </w:tcBorders>
          </w:tcPr>
          <w:p w:rsidR="00F96D60" w:rsidRDefault="00F96D60">
            <w:pPr>
              <w:rPr>
                <w:sz w:val="28"/>
                <w:szCs w:val="28"/>
              </w:rPr>
            </w:pPr>
          </w:p>
        </w:tc>
      </w:tr>
      <w:tr w:rsidR="00F96D60">
        <w:trPr>
          <w:trHeight w:val="397"/>
        </w:trPr>
        <w:tc>
          <w:tcPr>
            <w:tcW w:w="10206" w:type="dxa"/>
            <w:tcBorders>
              <w:left w:val="none" w:sz="4" w:space="0" w:color="000000"/>
              <w:right w:val="none" w:sz="4" w:space="0" w:color="000000"/>
            </w:tcBorders>
          </w:tcPr>
          <w:p w:rsidR="00F96D60" w:rsidRDefault="000D5A47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96D60">
        <w:trPr>
          <w:trHeight w:val="274"/>
        </w:trPr>
        <w:tc>
          <w:tcPr>
            <w:tcW w:w="10206" w:type="dxa"/>
          </w:tcPr>
          <w:p w:rsidR="00F96D60" w:rsidRDefault="00F96D60">
            <w:pPr>
              <w:rPr>
                <w:sz w:val="28"/>
                <w:szCs w:val="28"/>
              </w:rPr>
            </w:pPr>
          </w:p>
        </w:tc>
      </w:tr>
    </w:tbl>
    <w:p w:rsidR="00F96D60" w:rsidRDefault="00F96D60">
      <w:pPr>
        <w:rPr>
          <w:sz w:val="28"/>
          <w:szCs w:val="28"/>
        </w:rPr>
      </w:pPr>
    </w:p>
    <w:sectPr w:rsidR="00F96D60" w:rsidSect="00F96D60">
      <w:headerReference w:type="even" r:id="rId7"/>
      <w:headerReference w:type="default" r:id="rId8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A47" w:rsidRDefault="000D5A47">
      <w:r>
        <w:separator/>
      </w:r>
    </w:p>
  </w:endnote>
  <w:endnote w:type="continuationSeparator" w:id="0">
    <w:p w:rsidR="000D5A47" w:rsidRDefault="000D5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A47" w:rsidRDefault="000D5A47">
      <w:r>
        <w:separator/>
      </w:r>
    </w:p>
  </w:footnote>
  <w:footnote w:type="continuationSeparator" w:id="0">
    <w:p w:rsidR="000D5A47" w:rsidRDefault="000D5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0" w:rsidRDefault="00F96D60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0D5A47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F96D60" w:rsidRDefault="00F96D60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D60" w:rsidRDefault="00F96D60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0D5A47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9669AB">
      <w:rPr>
        <w:rStyle w:val="af6"/>
        <w:noProof/>
        <w:sz w:val="28"/>
        <w:szCs w:val="28"/>
      </w:rPr>
      <w:t>3</w:t>
    </w:r>
    <w:r>
      <w:rPr>
        <w:rStyle w:val="af6"/>
        <w:sz w:val="28"/>
        <w:szCs w:val="28"/>
      </w:rPr>
      <w:fldChar w:fldCharType="end"/>
    </w:r>
  </w:p>
  <w:p w:rsidR="00F96D60" w:rsidRDefault="00F96D60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255FF"/>
    <w:multiLevelType w:val="hybridMultilevel"/>
    <w:tmpl w:val="02CA5594"/>
    <w:lvl w:ilvl="0" w:tplc="63309B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5107F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5291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D2E1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C02F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5E2A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EAF0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2EC2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609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6D60"/>
    <w:rsid w:val="000D5A47"/>
    <w:rsid w:val="009669AB"/>
    <w:rsid w:val="00F96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60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F96D6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F96D6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96D6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F96D6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96D6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F96D6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96D6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F96D6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96D6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F96D6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96D6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F96D6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96D6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F96D6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96D6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F96D6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96D6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F96D6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96D60"/>
    <w:pPr>
      <w:ind w:left="720"/>
      <w:contextualSpacing/>
    </w:pPr>
  </w:style>
  <w:style w:type="paragraph" w:styleId="a4">
    <w:name w:val="No Spacing"/>
    <w:uiPriority w:val="1"/>
    <w:qFormat/>
    <w:rsid w:val="00F96D60"/>
  </w:style>
  <w:style w:type="paragraph" w:styleId="a5">
    <w:name w:val="Title"/>
    <w:basedOn w:val="a"/>
    <w:next w:val="a"/>
    <w:link w:val="a6"/>
    <w:uiPriority w:val="10"/>
    <w:qFormat/>
    <w:rsid w:val="00F96D6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96D6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96D60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F96D6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96D6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96D6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96D6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96D6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F96D60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F96D60"/>
  </w:style>
  <w:style w:type="paragraph" w:customStyle="1" w:styleId="Footer">
    <w:name w:val="Footer"/>
    <w:basedOn w:val="a"/>
    <w:link w:val="CaptionChar"/>
    <w:uiPriority w:val="99"/>
    <w:unhideWhenUsed/>
    <w:rsid w:val="00F96D60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F96D6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96D6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F96D60"/>
  </w:style>
  <w:style w:type="table" w:styleId="ab">
    <w:name w:val="Table Grid"/>
    <w:uiPriority w:val="59"/>
    <w:rsid w:val="00F96D6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96D6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96D6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96D6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96D6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96D6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96D6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96D6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96D6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96D60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96D6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F96D60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F96D60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F96D60"/>
    <w:rPr>
      <w:sz w:val="18"/>
    </w:rPr>
  </w:style>
  <w:style w:type="character" w:styleId="af">
    <w:name w:val="footnote reference"/>
    <w:uiPriority w:val="99"/>
    <w:unhideWhenUsed/>
    <w:rsid w:val="00F96D60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F96D60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F96D60"/>
    <w:rPr>
      <w:sz w:val="20"/>
    </w:rPr>
  </w:style>
  <w:style w:type="character" w:styleId="af2">
    <w:name w:val="endnote reference"/>
    <w:uiPriority w:val="99"/>
    <w:semiHidden/>
    <w:unhideWhenUsed/>
    <w:rsid w:val="00F96D6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96D60"/>
    <w:pPr>
      <w:spacing w:after="57"/>
    </w:pPr>
  </w:style>
  <w:style w:type="paragraph" w:styleId="21">
    <w:name w:val="toc 2"/>
    <w:basedOn w:val="a"/>
    <w:next w:val="a"/>
    <w:uiPriority w:val="39"/>
    <w:unhideWhenUsed/>
    <w:rsid w:val="00F96D6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96D6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96D6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96D6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96D6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96D6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96D6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96D60"/>
    <w:pPr>
      <w:spacing w:after="57"/>
      <w:ind w:left="2268"/>
    </w:pPr>
  </w:style>
  <w:style w:type="paragraph" w:styleId="af3">
    <w:name w:val="TOC Heading"/>
    <w:uiPriority w:val="39"/>
    <w:unhideWhenUsed/>
    <w:rsid w:val="00F96D60"/>
  </w:style>
  <w:style w:type="paragraph" w:styleId="af4">
    <w:name w:val="table of figures"/>
    <w:basedOn w:val="a"/>
    <w:next w:val="a"/>
    <w:uiPriority w:val="99"/>
    <w:unhideWhenUsed/>
    <w:rsid w:val="00F96D60"/>
  </w:style>
  <w:style w:type="paragraph" w:styleId="af5">
    <w:name w:val="header"/>
    <w:basedOn w:val="a"/>
    <w:rsid w:val="00F96D60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F96D60"/>
  </w:style>
  <w:style w:type="paragraph" w:styleId="af7">
    <w:name w:val="footer"/>
    <w:basedOn w:val="a"/>
    <w:rsid w:val="00F96D60"/>
    <w:pPr>
      <w:tabs>
        <w:tab w:val="center" w:pos="4677"/>
        <w:tab w:val="right" w:pos="9355"/>
      </w:tabs>
    </w:pPr>
  </w:style>
  <w:style w:type="paragraph" w:customStyle="1" w:styleId="af8">
    <w:name w:val="Приложение"/>
    <w:basedOn w:val="af9"/>
    <w:rsid w:val="00F96D60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styleId="af9">
    <w:name w:val="Body Text"/>
    <w:basedOn w:val="a"/>
    <w:link w:val="afa"/>
    <w:rsid w:val="00F96D60"/>
    <w:pPr>
      <w:spacing w:after="120"/>
    </w:pPr>
    <w:rPr>
      <w:lang w:val="en-US" w:eastAsia="en-US"/>
    </w:rPr>
  </w:style>
  <w:style w:type="character" w:customStyle="1" w:styleId="afa">
    <w:name w:val="Основной текст Знак"/>
    <w:link w:val="af9"/>
    <w:rsid w:val="00F96D60"/>
    <w:rPr>
      <w:sz w:val="24"/>
      <w:szCs w:val="24"/>
    </w:rPr>
  </w:style>
  <w:style w:type="paragraph" w:customStyle="1" w:styleId="afb">
    <w:name w:val="Исполнитель"/>
    <w:basedOn w:val="af9"/>
    <w:rsid w:val="00F96D60"/>
    <w:pPr>
      <w:spacing w:after="0" w:line="240" w:lineRule="exact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6023</Characters>
  <Application>Microsoft Office Word</Application>
  <DocSecurity>0</DocSecurity>
  <Lines>50</Lines>
  <Paragraphs>14</Paragraphs>
  <ScaleCrop>false</ScaleCrop>
  <Company/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Моисеевских Наталья Александровна</dc:creator>
  <cp:lastModifiedBy>ivanova-tn</cp:lastModifiedBy>
  <cp:revision>2</cp:revision>
  <dcterms:created xsi:type="dcterms:W3CDTF">2026-09-28T05:05:00Z</dcterms:created>
  <dcterms:modified xsi:type="dcterms:W3CDTF">2026-09-28T05:05:00Z</dcterms:modified>
  <cp:version>917504</cp:version>
</cp:coreProperties>
</file>