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112"/>
        <w:gridCol w:w="131"/>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gridSpan w:val="2"/>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gridSpan w:val="2"/>
            <w:tcW w:w="5243" w:type="dxa"/>
            <w:vAlign w:val="center"/>
            <w:textDirection w:val="lrTb"/>
            <w:noWrap w:val="false"/>
          </w:tcPr>
          <w:p>
            <w:pPr>
              <w:jc w:val="center"/>
            </w:pPr>
            <w:r/>
            <w:r>
              <w:t xml:space="preserve">59:01:0719226:616</w:t>
            </w:r>
            <w:r/>
            <w:r/>
          </w:p>
        </w:tc>
        <w:tc>
          <w:tcPr>
            <w:tcW w:w="2911" w:type="dxa"/>
            <w:vAlign w:val="center"/>
            <w:textDirection w:val="lrTb"/>
            <w:noWrap w:val="false"/>
          </w:tcPr>
          <w:p>
            <w:pPr>
              <w:jc w:val="center"/>
            </w:pPr>
            <w:r>
              <w:t xml:space="preserve">г. Пермь</w:t>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gridSpan w:val="2"/>
            <w:tcW w:w="5243" w:type="dxa"/>
            <w:vAlign w:val="center"/>
            <w:textDirection w:val="lrTb"/>
            <w:noWrap w:val="false"/>
          </w:tcPr>
          <w:p>
            <w:pPr>
              <w:jc w:val="center"/>
            </w:pPr>
            <w:r>
              <w:rPr>
                <w:rFonts w:ascii="Times New Roman CYR" w:hAnsi="Times New Roman CYR" w:eastAsia="Calibri" w:cs="Times New Roman CYR"/>
                <w:color w:val="auto"/>
              </w:rPr>
              <w:t xml:space="preserve">земли Пермского городского округа</w:t>
            </w:r>
            <w:r/>
          </w:p>
          <w:p>
            <w:pPr>
              <w:jc w:val="center"/>
            </w:pPr>
            <w:r/>
            <w:r>
              <w:rPr>
                <w:rFonts w:ascii="Times New Roman CYR" w:hAnsi="Times New Roman CYR" w:eastAsia="Calibri" w:cs="Times New Roman CYR"/>
                <w:color w:val="auto"/>
              </w:rPr>
              <w:t xml:space="preserve">кадастровый квартал 59:01:4311781</w:t>
            </w:r>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2911" w:type="dxa"/>
            <w:vAlign w:val="center"/>
            <w:textDirection w:val="lrTb"/>
            <w:noWrap w:val="false"/>
          </w:tcPr>
          <w:p>
            <w:pPr>
              <w:jc w:val="center"/>
            </w:pPr>
            <w:r>
              <w:t xml:space="preserve">г. Пермь</w:t>
            </w:r>
            <w:r/>
            <w:r/>
            <w:r>
              <w:rPr>
                <w:rFonts w:ascii="Times New Roman CYR" w:hAnsi="Times New Roman CYR" w:eastAsia="Calibri" w:cs="Times New Roman CYR"/>
                <w:color w:val="auto"/>
              </w:rPr>
            </w:r>
            <w:r>
              <w:rPr>
                <w:rFonts w:ascii="Times New Roman CYR" w:hAnsi="Times New Roman CYR" w:eastAsia="Calibri" w:cs="Times New Roman CYR"/>
                <w:color w:val="auto"/>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gridSpan w:val="2"/>
            <w:tcW w:w="5243" w:type="dxa"/>
            <w:vAlign w:val="center"/>
            <w:textDirection w:val="lrTb"/>
            <w:noWrap w:val="false"/>
          </w:tcPr>
          <w:p>
            <w:pPr>
              <w:jc w:val="center"/>
            </w:pPr>
            <w:r/>
            <w:r>
              <w:t xml:space="preserve">59:01:4416089:29, </w:t>
            </w:r>
            <w:r/>
          </w:p>
          <w:p>
            <w:pPr>
              <w:jc w:val="center"/>
            </w:pPr>
            <w:r>
              <w:t xml:space="preserve">59:01:4416089:44</w:t>
            </w: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2"/>
            <w:tcW w:w="5243" w:type="dxa"/>
            <w:vAlign w:val="center"/>
            <w:textDirection w:val="lrTb"/>
            <w:noWrap w:val="false"/>
          </w:tcPr>
          <w:p>
            <w:pPr>
              <w:jc w:val="center"/>
            </w:pPr>
            <w:r/>
            <w:r>
              <w:t xml:space="preserve">59:01:4411069:518, </w:t>
            </w:r>
            <w:r/>
          </w:p>
          <w:p>
            <w:pPr>
              <w:jc w:val="center"/>
            </w:pPr>
            <w:r>
              <w:t xml:space="preserve">59:01:4411069:519</w:t>
            </w:r>
            <w:r/>
            <w:r/>
          </w:p>
        </w:tc>
        <w:tc>
          <w:tcPr>
            <w:tcW w:w="2911" w:type="dxa"/>
            <w:vAlign w:val="center"/>
            <w:textDirection w:val="lrTb"/>
            <w:noWrap w:val="false"/>
          </w:tcPr>
          <w:p>
            <w:pPr>
              <w:jc w:val="center"/>
            </w:pPr>
            <w:r/>
            <w:r>
              <w:t xml:space="preserve">г. Пермь</w:t>
            </w:r>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gridSpan w:val="2"/>
            <w:tcW w:w="5243" w:type="dxa"/>
            <w:vAlign w:val="center"/>
            <w:textDirection w:val="lrTb"/>
            <w:noWrap w:val="false"/>
          </w:tcPr>
          <w:p>
            <w:pPr>
              <w:jc w:val="center"/>
            </w:pPr>
            <w:r>
              <w:t xml:space="preserve">ЕЗ 59:01:0000000:1014</w:t>
            </w:r>
            <w:r/>
          </w:p>
          <w:p>
            <w:pPr>
              <w:jc w:val="center"/>
            </w:pPr>
            <w:r>
              <w:t xml:space="preserve">(59:01:4319174:15)</w:t>
            </w:r>
            <w:r/>
            <w:r/>
            <w:r/>
          </w:p>
        </w:tc>
        <w:tc>
          <w:tcPr>
            <w:tcW w:w="2911" w:type="dxa"/>
            <w:vAlign w:val="center"/>
            <w:textDirection w:val="lrTb"/>
            <w:noWrap w:val="false"/>
          </w:tcPr>
          <w:p>
            <w:pPr>
              <w:jc w:val="center"/>
            </w:pPr>
            <w:r/>
            <w:r>
              <w:t xml:space="preserve">г. Пермь</w:t>
            </w:r>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r>
              <w:rPr>
                <w:sz w:val="24"/>
                <w:szCs w:val="24"/>
              </w:rPr>
            </w:r>
          </w:p>
        </w:tc>
        <w:tc>
          <w:tcPr>
            <w:gridSpan w:val="2"/>
            <w:tcW w:w="5243" w:type="dxa"/>
            <w:vAlign w:val="center"/>
            <w:textDirection w:val="lrTb"/>
            <w:noWrap w:val="false"/>
          </w:tcPr>
          <w:p>
            <w:pPr>
              <w:jc w:val="center"/>
            </w:pPr>
            <w:r>
              <w:t xml:space="preserve">59:01:0000000: 87488 (12 кв.м.), земли</w:t>
            </w:r>
            <w:r/>
          </w:p>
          <w:p>
            <w:pPr>
              <w:jc w:val="center"/>
            </w:pPr>
            <w:r>
              <w:t xml:space="preserve">Пермского г.о. в кадастровом квартале</w:t>
            </w:r>
            <w:r/>
          </w:p>
          <w:p>
            <w:pPr>
              <w:jc w:val="center"/>
            </w:pPr>
            <w:r>
              <w:t xml:space="preserve">59:01:1810028 (80 кв.м)</w:t>
            </w:r>
            <w:r/>
            <w:r/>
            <w:r/>
          </w:p>
        </w:tc>
        <w:tc>
          <w:tcPr>
            <w:tcW w:w="2911" w:type="dxa"/>
            <w:vAlign w:val="center"/>
            <w:textDirection w:val="lrTb"/>
            <w:noWrap w:val="false"/>
          </w:tcPr>
          <w:p>
            <w:pPr>
              <w:jc w:val="center"/>
            </w:pPr>
            <w:r/>
            <w:r>
              <w:t xml:space="preserve">г. Пермь</w:t>
            </w:r>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r>
              <w:rPr>
                <w:sz w:val="24"/>
                <w:szCs w:val="24"/>
              </w:rPr>
            </w:r>
          </w:p>
        </w:tc>
        <w:tc>
          <w:tcPr>
            <w:gridSpan w:val="2"/>
            <w:tcW w:w="5243" w:type="dxa"/>
            <w:vAlign w:val="center"/>
            <w:textDirection w:val="lrTb"/>
            <w:noWrap w:val="false"/>
          </w:tcPr>
          <w:p>
            <w:pPr>
              <w:jc w:val="center"/>
            </w:pPr>
            <w:r>
              <w:t xml:space="preserve">59:01:1715055 (283 кв.м)</w:t>
            </w:r>
            <w:r/>
          </w:p>
          <w:p>
            <w:pPr>
              <w:jc w:val="center"/>
            </w:pPr>
            <w:r>
              <w:t xml:space="preserve">59:01:1715055:7 (255 кв.м)</w:t>
            </w:r>
            <w: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01</w:t>
      </w:r>
      <w:r>
        <w:t xml:space="preserve">.</w:t>
      </w:r>
      <w:r>
        <w:t xml:space="preserve">07</w:t>
      </w:r>
      <w:r>
        <w:t xml:space="preserve">.202</w:t>
      </w:r>
      <w:r>
        <w:t xml:space="preserve">5</w:t>
      </w:r>
      <w:r>
        <w:t xml:space="preserve"> п</w:t>
      </w:r>
      <w:r>
        <w:t xml:space="preserve">о</w:t>
      </w:r>
      <w:r>
        <w:t xml:space="preserve"> 15</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16</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72</cp:revision>
  <dcterms:created xsi:type="dcterms:W3CDTF">2023-03-30T08:39:00Z</dcterms:created>
  <dcterms:modified xsi:type="dcterms:W3CDTF">2025-06-26T10:20:06Z</dcterms:modified>
  <cp:version>917504</cp:version>
</cp:coreProperties>
</file>