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150" w:line="240" w:lineRule="auto"/>
        <w:shd w:val="clear" w:color="ffffff" w:fill="ffffff"/>
        <w:rPr>
          <w:rFonts w:ascii="Roboto" w:hAnsi="Roboto" w:eastAsia="Roboto" w:cs="Roboto"/>
          <w:color w:val="666666"/>
          <w:sz w:val="23"/>
          <w:szCs w:val="23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41"/>
        </w:rPr>
        <w:t xml:space="preserve">Переходные периоды</w:t>
      </w:r>
      <w:r>
        <w:rPr>
          <w:rFonts w:ascii="Roboto" w:hAnsi="Roboto" w:eastAsia="Roboto" w:cs="Roboto"/>
          <w:color w:val="666666"/>
          <w:sz w:val="23"/>
          <w:szCs w:val="23"/>
        </w:rPr>
      </w:r>
    </w:p>
    <w:p>
      <w:pPr>
        <w:ind w:left="0" w:right="0" w:firstLine="0"/>
        <w:spacing w:before="0" w:after="150" w:line="216" w:lineRule="auto"/>
        <w:shd w:val="clear" w:color="ffffff" w:fill="ffffff"/>
        <w:rPr>
          <w:rFonts w:ascii="Roboto" w:hAnsi="Roboto" w:eastAsia="Roboto" w:cs="Roboto"/>
          <w:color w:val="666666"/>
          <w:sz w:val="23"/>
          <w:szCs w:val="23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666666"/>
          <w:sz w:val="23"/>
          <w:szCs w:val="23"/>
        </w:rPr>
      </w:r>
      <w:r>
        <w:rPr>
          <w:rFonts w:ascii="Roboto" w:hAnsi="Roboto" w:eastAsia="Roboto" w:cs="Roboto"/>
          <w:sz w:val="23"/>
          <w:highlight w:val="white"/>
        </w:rPr>
        <w:t xml:space="preserve">Решение Пермской городской Думы от 22.10.2024 № 177 «О внесении изменений </w:t>
        <w:br/>
        <w:t xml:space="preserve">в отдельные решения Пермской городской Думы в сфере благоустройства» (далее - Решение) 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предусмотрены переходные периоды, согласно которым:</w:t>
      </w:r>
      <w:r>
        <w:rPr>
          <w:rFonts w:ascii="Roboto" w:hAnsi="Roboto" w:eastAsia="Roboto" w:cs="Roboto"/>
          <w:color w:val="666666"/>
          <w:sz w:val="23"/>
          <w:szCs w:val="23"/>
        </w:rPr>
      </w:r>
      <w:r>
        <w:rPr>
          <w:rFonts w:ascii="Roboto" w:hAnsi="Roboto" w:eastAsia="Roboto" w:cs="Roboto"/>
          <w:color w:val="666666"/>
          <w:sz w:val="23"/>
          <w:szCs w:val="23"/>
        </w:rPr>
      </w:r>
    </w:p>
    <w:p>
      <w:pPr>
        <w:ind w:left="0" w:right="0" w:firstLine="0"/>
        <w:spacing w:before="0" w:after="150" w:line="216" w:lineRule="auto"/>
        <w:shd w:val="clear" w:color="ffffff" w:fill="ffffff"/>
        <w:rPr>
          <w:rFonts w:ascii="Roboto" w:hAnsi="Roboto" w:eastAsia="Roboto" w:cs="Roboto"/>
          <w:color w:val="666666"/>
          <w:sz w:val="23"/>
          <w:szCs w:val="23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666666"/>
          <w:sz w:val="23"/>
          <w:szCs w:val="23"/>
        </w:rPr>
        <w:t xml:space="preserve">собственник или иной владелец (далее – Владелец) объектов капитального строительства (за исключением объектов, строительство которых не завершено) </w:t>
        <w:br/>
        <w:t xml:space="preserve"> (далее – капитальные объекты), за исключением объектов культурного наследия, выявленных объектов культурног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о наследия, объектов индивидуального жилищного строительства, гаражей, а также организации, обеспечивающие содержание указанных капитальных объектов, расположенных на территории города Перми, </w:t>
        <w:br/>
        <w:t xml:space="preserve">в течение 12 месяцев после дня вступления в силу Решения должны 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привести фасады указанных капитальных объектов в соответствие требованиям пункта 11.2 Правил благоустройства (Требования к содержанию, внешнему облику (виду) фасада капитального объекта);</w:t>
      </w:r>
      <w:r>
        <w:rPr>
          <w:rFonts w:ascii="Roboto" w:hAnsi="Roboto" w:eastAsia="Roboto" w:cs="Roboto"/>
          <w:color w:val="666666"/>
          <w:sz w:val="23"/>
          <w:szCs w:val="23"/>
        </w:rPr>
      </w:r>
      <w:r>
        <w:rPr>
          <w:rFonts w:ascii="Roboto" w:hAnsi="Roboto" w:eastAsia="Roboto" w:cs="Roboto"/>
          <w:color w:val="666666"/>
          <w:sz w:val="23"/>
          <w:szCs w:val="23"/>
        </w:rPr>
      </w:r>
    </w:p>
    <w:p>
      <w:pPr>
        <w:ind w:left="0" w:right="0" w:firstLine="0"/>
        <w:spacing w:before="0" w:after="150" w:line="216" w:lineRule="auto"/>
        <w:shd w:val="clear" w:color="ffffff" w:fill="ffffff"/>
        <w:rPr>
          <w:rFonts w:ascii="Roboto" w:hAnsi="Roboto" w:eastAsia="Roboto" w:cs="Roboto"/>
          <w:color w:val="666666"/>
          <w:sz w:val="23"/>
          <w:szCs w:val="23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666666"/>
          <w:sz w:val="23"/>
          <w:szCs w:val="23"/>
        </w:rPr>
        <w:t xml:space="preserve">Владельцы капитальных объектов (за исключением 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гаражей), а также организации, обеспечивающие содержание указан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ных капитальных объектов, расположенных в границах городского центра и обращенных одним из фасадов </w:t>
        <w:br/>
        <w:t xml:space="preserve"> на территорию общего пользования, капитальных объектов, обращенных одним </w:t>
        <w:br/>
        <w:t xml:space="preserve"> из фасадов на улицу особого градостроительного значения-магистраль городского зн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ачения, в течение 60 месяцев после дня вступления в силу Решения должны привести фасады капитальных объектов в соответствие требованиям пункта 11.3 Правил благоустройства (Требования к проведению текущего ремонта и капитального ремонта); </w:t>
      </w:r>
      <w:r>
        <w:rPr>
          <w:rFonts w:ascii="Roboto" w:hAnsi="Roboto" w:eastAsia="Roboto" w:cs="Roboto"/>
          <w:color w:val="666666"/>
          <w:sz w:val="23"/>
          <w:szCs w:val="23"/>
        </w:rPr>
      </w:r>
      <w:r>
        <w:rPr>
          <w:rFonts w:ascii="Roboto" w:hAnsi="Roboto" w:eastAsia="Roboto" w:cs="Roboto"/>
          <w:color w:val="666666"/>
          <w:sz w:val="23"/>
          <w:szCs w:val="23"/>
        </w:rPr>
      </w:r>
    </w:p>
    <w:p>
      <w:pPr>
        <w:ind w:left="0" w:right="0" w:firstLine="0"/>
        <w:spacing w:before="0" w:after="150" w:line="216" w:lineRule="auto"/>
        <w:shd w:val="clear" w:color="ffffff" w:fill="ffffff"/>
        <w:rPr>
          <w:rFonts w:ascii="Roboto" w:hAnsi="Roboto" w:eastAsia="Roboto" w:cs="Roboto"/>
          <w:color w:val="666666"/>
          <w:sz w:val="23"/>
          <w:szCs w:val="23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666666"/>
          <w:sz w:val="23"/>
          <w:szCs w:val="23"/>
        </w:rPr>
        <w:t xml:space="preserve">Владельцы капитальных объектов (за исключением 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гаражей), а также организации, обеспечивающие содержание указан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ных капитальных объектов, расположенных на иных территориях, обращенных одним из фасадов </w:t>
        <w:br/>
        <w:t xml:space="preserve"> на территорию общего пользования, в течение 120 месяцев после дня вступления </w:t>
        <w:br/>
        <w:t xml:space="preserve"> в силу Решения должны привести капитальные объекты в соответствие требованиям пункта 1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1.3 (Требования к проведению текущего ремонта </w:t>
        <w:br/>
        <w:t xml:space="preserve"> и капитального ремонта) Правил благоустройства.</w:t>
      </w:r>
      <w:r>
        <w:rPr>
          <w:rFonts w:ascii="Roboto" w:hAnsi="Roboto" w:eastAsia="Roboto" w:cs="Roboto"/>
          <w:color w:val="666666"/>
          <w:sz w:val="23"/>
          <w:szCs w:val="23"/>
        </w:rPr>
      </w:r>
      <w:r>
        <w:rPr>
          <w:rFonts w:ascii="Roboto" w:hAnsi="Roboto" w:eastAsia="Roboto" w:cs="Roboto"/>
          <w:color w:val="666666"/>
          <w:sz w:val="23"/>
          <w:szCs w:val="23"/>
        </w:rPr>
      </w:r>
    </w:p>
    <w:p>
      <w:pPr>
        <w:ind w:left="0" w:right="0" w:firstLine="0"/>
        <w:spacing w:before="0" w:after="150" w:line="216" w:lineRule="auto"/>
        <w:shd w:val="clear" w:color="ffffff" w:fill="ffffff"/>
        <w:rPr>
          <w:rFonts w:ascii="Roboto" w:hAnsi="Roboto" w:eastAsia="Roboto" w:cs="Roboto"/>
          <w:color w:val="666666"/>
          <w:sz w:val="23"/>
          <w:szCs w:val="23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666666"/>
          <w:sz w:val="23"/>
          <w:szCs w:val="23"/>
        </w:rPr>
        <w:t xml:space="preserve">Для выполнения вышеуказанных обязанностей Владельцы капитальных объектов должны разработать паспорт внешнего облика (колерный паспорт) капитального объекта (далее – колерный паспорт капитального объекта), устанавливающий внешний облик (вид) фасадов капитал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ьного объекта, соответствующий требованиям Правил, и обеспечить его согласование  в соответствии с требованиями Правил благоустройства.</w:t>
      </w:r>
      <w:r>
        <w:rPr>
          <w:rFonts w:ascii="Roboto" w:hAnsi="Roboto" w:eastAsia="Roboto" w:cs="Roboto"/>
          <w:color w:val="666666"/>
          <w:sz w:val="23"/>
          <w:szCs w:val="23"/>
        </w:rPr>
      </w:r>
      <w:r>
        <w:rPr>
          <w:rFonts w:ascii="Roboto" w:hAnsi="Roboto" w:eastAsia="Roboto" w:cs="Roboto"/>
          <w:color w:val="666666"/>
          <w:sz w:val="23"/>
          <w:szCs w:val="23"/>
        </w:rPr>
      </w:r>
    </w:p>
    <w:p>
      <w:pPr>
        <w:ind w:left="0" w:right="0" w:firstLine="0"/>
        <w:spacing w:before="0" w:after="150" w:line="216" w:lineRule="auto"/>
        <w:shd w:val="clear" w:color="ffffff" w:fill="ffffff"/>
        <w:rPr>
          <w:rFonts w:ascii="Roboto" w:hAnsi="Roboto" w:eastAsia="Roboto" w:cs="Roboto"/>
          <w:color w:val="66666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666666"/>
          <w:sz w:val="23"/>
          <w:szCs w:val="23"/>
        </w:rPr>
        <w:t xml:space="preserve">В случае несоответствия внешнего облика (вида) фасадов капитальных объектов, расположенных в границах городского центра и обращенных одним  из фасадов на территорию общего пользования, капитальных объектов, обращен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ных одним из фасадов на улицу особого гра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достроительного значения-магистраль городского значения, требованиям Правил благоустройства, в редакции Решения, Владелец такого объекта должен разработать колерный паспорт капитального объекта в соответствии с требованиями к внешнему облику (виду) фасада капитального объ</w:t>
      </w:r>
      <w:r>
        <w:rPr>
          <w:rFonts w:ascii="Roboto" w:hAnsi="Roboto" w:eastAsia="Roboto" w:cs="Roboto"/>
          <w:color w:val="666666"/>
          <w:sz w:val="23"/>
          <w:szCs w:val="23"/>
        </w:rPr>
        <w:t xml:space="preserve">екта, установленными Решением, и обеспечить его согласование в соответствии с требованиями Правил благоустройства. </w:t>
      </w:r>
      <w:r>
        <w:rPr>
          <w:rFonts w:ascii="Roboto" w:hAnsi="Roboto" w:eastAsia="Roboto" w:cs="Roboto"/>
          <w:color w:val="666666"/>
          <w:sz w:val="23"/>
          <w:szCs w:val="23"/>
        </w:rPr>
      </w:r>
      <w:r>
        <w:rPr>
          <w:rFonts w:ascii="Roboto" w:hAnsi="Roboto" w:eastAsia="Roboto" w:cs="Roboto"/>
          <w:color w:val="666666"/>
          <w:sz w:val="23"/>
          <w:szCs w:val="23"/>
        </w:rPr>
      </w:r>
      <w:r/>
      <w:r/>
      <w:r>
        <w:rPr>
          <w:rFonts w:ascii="Roboto" w:hAnsi="Roboto" w:eastAsia="Roboto" w:cs="Roboto"/>
          <w:color w:val="666666"/>
          <w:sz w:val="23"/>
          <w:szCs w:val="23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637" w:customStyle="1">
    <w:name w:val="Body Text"/>
    <w:basedOn w:val="89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kaiurina-sa</cp:lastModifiedBy>
  <cp:revision>3</cp:revision>
  <dcterms:modified xsi:type="dcterms:W3CDTF">2025-03-17T09:22:37Z</dcterms:modified>
</cp:coreProperties>
</file>